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ageBreakBefore w:val="0"/>
        <w:spacing w:after="40" w:before="0" w:line="264" w:lineRule="auto"/>
        <w:jc w:val="center"/>
        <w:rPr>
          <w:rFonts w:ascii="Roboto" w:cs="Roboto" w:eastAsia="Roboto" w:hAnsi="Roboto"/>
          <w:color w:val="150b0b"/>
          <w:sz w:val="22"/>
          <w:szCs w:val="22"/>
          <w:highlight w:val="white"/>
        </w:rPr>
      </w:pPr>
      <w:bookmarkStart w:colFirst="0" w:colLast="0" w:name="_czp9ug9y3whz" w:id="0"/>
      <w:bookmarkEnd w:id="0"/>
      <w:r w:rsidDel="00000000" w:rsidR="00000000" w:rsidRPr="00000000">
        <w:rPr>
          <w:rFonts w:ascii="Roboto" w:cs="Roboto" w:eastAsia="Roboto" w:hAnsi="Roboto"/>
          <w:color w:val="150b0b"/>
          <w:sz w:val="22"/>
          <w:szCs w:val="22"/>
          <w:highlight w:val="white"/>
          <w:rtl w:val="0"/>
        </w:rPr>
        <w:t xml:space="preserve">Bitácora Semana 4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ageBreakBefore w:val="0"/>
        <w:spacing w:after="40" w:before="0" w:line="264" w:lineRule="auto"/>
        <w:jc w:val="center"/>
        <w:rPr>
          <w:rFonts w:ascii="Roboto" w:cs="Roboto" w:eastAsia="Roboto" w:hAnsi="Roboto"/>
          <w:color w:val="150b0b"/>
          <w:sz w:val="22"/>
          <w:szCs w:val="22"/>
          <w:highlight w:val="white"/>
        </w:rPr>
      </w:pPr>
      <w:bookmarkStart w:colFirst="0" w:colLast="0" w:name="_czp9ug9y3whz" w:id="0"/>
      <w:bookmarkEnd w:id="0"/>
      <w:r w:rsidDel="00000000" w:rsidR="00000000" w:rsidRPr="00000000">
        <w:rPr>
          <w:rFonts w:ascii="Roboto" w:cs="Roboto" w:eastAsia="Roboto" w:hAnsi="Roboto"/>
          <w:color w:val="150b0b"/>
          <w:sz w:val="22"/>
          <w:szCs w:val="22"/>
          <w:highlight w:val="white"/>
          <w:rtl w:val="0"/>
        </w:rPr>
        <w:t xml:space="preserve">Fecha: 20 de Agosto al 1 de Septiembre del 2018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ageBreakBefore w:val="0"/>
        <w:spacing w:after="40" w:before="0" w:line="264" w:lineRule="auto"/>
        <w:jc w:val="center"/>
        <w:rPr>
          <w:rFonts w:ascii="Roboto" w:cs="Roboto" w:eastAsia="Roboto" w:hAnsi="Roboto"/>
          <w:color w:val="150b0b"/>
          <w:sz w:val="20"/>
          <w:szCs w:val="20"/>
          <w:highlight w:val="white"/>
        </w:rPr>
      </w:pPr>
      <w:bookmarkStart w:colFirst="0" w:colLast="0" w:name="_rkoi2vkrdzft" w:id="1"/>
      <w:bookmarkEnd w:id="1"/>
      <w:r w:rsidDel="00000000" w:rsidR="00000000" w:rsidRPr="00000000">
        <w:rPr>
          <w:rFonts w:ascii="Roboto" w:cs="Roboto" w:eastAsia="Roboto" w:hAnsi="Roboto"/>
          <w:color w:val="150b0b"/>
          <w:sz w:val="20"/>
          <w:szCs w:val="20"/>
          <w:highlight w:val="white"/>
          <w:rtl w:val="0"/>
        </w:rPr>
        <w:t xml:space="preserve">Colectivo: IGA3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urier New" w:cs="Courier New" w:eastAsia="Courier New" w:hAnsi="Courier New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575"/>
        <w:tblGridChange w:id="0">
          <w:tblGrid>
            <w:gridCol w:w="1395"/>
            <w:gridCol w:w="75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Actividad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Identificación de las temáticas que más se le dificultan a los estudiantes de Diseño Conceptual.          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Durante estas dos semanas la única actividad que se llevó a cabo fue la identificación de aquellos temas en los que los estudiantes de Diseño Conceptual consideran tener más dificultades, esto se realizó mediante una encuesta enviada a ingenieros en formación que aprobaron el curso.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realizaron más actividades relacionadas con el proyecto debido a los parciales de primer corte.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Conclusión: </w:t>
      </w:r>
      <w:r w:rsidDel="00000000" w:rsidR="00000000" w:rsidRPr="00000000">
        <w:rPr>
          <w:rtl w:val="0"/>
        </w:rPr>
        <w:t xml:space="preserve">El colectivo se dio cuenta de que las actividades en las que más se presentan dificultades están muy relacionadas con el análisis de la situación problema y posibles soluciones, además de la valoración crítica y objetiva de los mismos.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Conclusión posible 2 :v 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Mediante la indagación social nos dimos cuenta de cuáles son las actividades que representan una mayor dificultad para los ingenieros en formación (Así está mejor ;)) y será en ellas en las que nos enfocaremos para el desarrollo de nuestro proyecto.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Perdon mi internet viene y va :c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