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47807309"/>
        <w:docPartObj>
          <w:docPartGallery w:val="Table of Contents"/>
          <w:docPartUnique/>
        </w:docPartObj>
      </w:sdtPr>
      <w:sdtEndPr>
        <w:rPr>
          <w:b/>
          <w:bCs/>
        </w:rPr>
      </w:sdtEndPr>
      <w:sdtContent>
        <w:p w14:paraId="430AEB0B" w14:textId="77777777" w:rsidR="00AD2D2A" w:rsidRDefault="00AD2D2A">
          <w:pPr>
            <w:pStyle w:val="En-ttedetabledesmatires"/>
          </w:pPr>
          <w:r>
            <w:t>Table des matières</w:t>
          </w:r>
        </w:p>
        <w:p w14:paraId="2829BD06" w14:textId="77777777" w:rsidR="002F6302" w:rsidRDefault="00AD2D2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2854511" w:history="1">
            <w:r w:rsidR="002F6302" w:rsidRPr="00295426">
              <w:rPr>
                <w:rStyle w:val="Lienhypertexte"/>
                <w:noProof/>
              </w:rPr>
              <w:t>1 - Introduction</w:t>
            </w:r>
            <w:r w:rsidR="002F6302">
              <w:rPr>
                <w:noProof/>
                <w:webHidden/>
              </w:rPr>
              <w:tab/>
            </w:r>
            <w:r w:rsidR="002F6302">
              <w:rPr>
                <w:noProof/>
                <w:webHidden/>
              </w:rPr>
              <w:fldChar w:fldCharType="begin"/>
            </w:r>
            <w:r w:rsidR="002F6302">
              <w:rPr>
                <w:noProof/>
                <w:webHidden/>
              </w:rPr>
              <w:instrText xml:space="preserve"> PAGEREF _Toc512854511 \h </w:instrText>
            </w:r>
            <w:r w:rsidR="002F6302">
              <w:rPr>
                <w:noProof/>
                <w:webHidden/>
              </w:rPr>
            </w:r>
            <w:r w:rsidR="002F6302">
              <w:rPr>
                <w:noProof/>
                <w:webHidden/>
              </w:rPr>
              <w:fldChar w:fldCharType="separate"/>
            </w:r>
            <w:r w:rsidR="002F6302">
              <w:rPr>
                <w:noProof/>
                <w:webHidden/>
              </w:rPr>
              <w:t>1</w:t>
            </w:r>
            <w:r w:rsidR="002F6302">
              <w:rPr>
                <w:noProof/>
                <w:webHidden/>
              </w:rPr>
              <w:fldChar w:fldCharType="end"/>
            </w:r>
          </w:hyperlink>
        </w:p>
        <w:p w14:paraId="64455F5A" w14:textId="77777777" w:rsidR="002F6302" w:rsidRDefault="002F6302">
          <w:pPr>
            <w:pStyle w:val="TM1"/>
            <w:tabs>
              <w:tab w:val="right" w:leader="dot" w:pos="9062"/>
            </w:tabs>
            <w:rPr>
              <w:rFonts w:eastAsiaTheme="minorEastAsia"/>
              <w:noProof/>
              <w:lang w:eastAsia="fr-FR"/>
            </w:rPr>
          </w:pPr>
          <w:hyperlink w:anchor="_Toc512854512" w:history="1">
            <w:r w:rsidRPr="00295426">
              <w:rPr>
                <w:rStyle w:val="Lienhypertexte"/>
                <w:noProof/>
              </w:rPr>
              <w:t>2 - Matériels et Méthodes</w:t>
            </w:r>
            <w:r>
              <w:rPr>
                <w:noProof/>
                <w:webHidden/>
              </w:rPr>
              <w:tab/>
            </w:r>
            <w:r>
              <w:rPr>
                <w:noProof/>
                <w:webHidden/>
              </w:rPr>
              <w:fldChar w:fldCharType="begin"/>
            </w:r>
            <w:r>
              <w:rPr>
                <w:noProof/>
                <w:webHidden/>
              </w:rPr>
              <w:instrText xml:space="preserve"> PAGEREF _Toc512854512 \h </w:instrText>
            </w:r>
            <w:r>
              <w:rPr>
                <w:noProof/>
                <w:webHidden/>
              </w:rPr>
            </w:r>
            <w:r>
              <w:rPr>
                <w:noProof/>
                <w:webHidden/>
              </w:rPr>
              <w:fldChar w:fldCharType="separate"/>
            </w:r>
            <w:r>
              <w:rPr>
                <w:noProof/>
                <w:webHidden/>
              </w:rPr>
              <w:t>2</w:t>
            </w:r>
            <w:r>
              <w:rPr>
                <w:noProof/>
                <w:webHidden/>
              </w:rPr>
              <w:fldChar w:fldCharType="end"/>
            </w:r>
          </w:hyperlink>
        </w:p>
        <w:p w14:paraId="5467E72C" w14:textId="77777777" w:rsidR="002F6302" w:rsidRDefault="002F6302">
          <w:pPr>
            <w:pStyle w:val="TM2"/>
            <w:tabs>
              <w:tab w:val="right" w:leader="dot" w:pos="9062"/>
            </w:tabs>
            <w:rPr>
              <w:rFonts w:eastAsiaTheme="minorEastAsia"/>
              <w:noProof/>
              <w:lang w:eastAsia="fr-FR"/>
            </w:rPr>
          </w:pPr>
          <w:hyperlink w:anchor="_Toc512854513" w:history="1">
            <w:r w:rsidRPr="00295426">
              <w:rPr>
                <w:rStyle w:val="Lienhypertexte"/>
                <w:noProof/>
              </w:rPr>
              <w:t>2.1 - Obtention de l’échantillon</w:t>
            </w:r>
            <w:r>
              <w:rPr>
                <w:noProof/>
                <w:webHidden/>
              </w:rPr>
              <w:tab/>
            </w:r>
            <w:r>
              <w:rPr>
                <w:noProof/>
                <w:webHidden/>
              </w:rPr>
              <w:fldChar w:fldCharType="begin"/>
            </w:r>
            <w:r>
              <w:rPr>
                <w:noProof/>
                <w:webHidden/>
              </w:rPr>
              <w:instrText xml:space="preserve"> PAGEREF _Toc512854513 \h </w:instrText>
            </w:r>
            <w:r>
              <w:rPr>
                <w:noProof/>
                <w:webHidden/>
              </w:rPr>
            </w:r>
            <w:r>
              <w:rPr>
                <w:noProof/>
                <w:webHidden/>
              </w:rPr>
              <w:fldChar w:fldCharType="separate"/>
            </w:r>
            <w:r>
              <w:rPr>
                <w:noProof/>
                <w:webHidden/>
              </w:rPr>
              <w:t>2</w:t>
            </w:r>
            <w:r>
              <w:rPr>
                <w:noProof/>
                <w:webHidden/>
              </w:rPr>
              <w:fldChar w:fldCharType="end"/>
            </w:r>
          </w:hyperlink>
        </w:p>
        <w:p w14:paraId="311C56E8" w14:textId="77777777" w:rsidR="002F6302" w:rsidRDefault="002F6302">
          <w:pPr>
            <w:pStyle w:val="TM2"/>
            <w:tabs>
              <w:tab w:val="right" w:leader="dot" w:pos="9062"/>
            </w:tabs>
            <w:rPr>
              <w:rFonts w:eastAsiaTheme="minorEastAsia"/>
              <w:noProof/>
              <w:lang w:eastAsia="fr-FR"/>
            </w:rPr>
          </w:pPr>
          <w:hyperlink w:anchor="_Toc512854514" w:history="1">
            <w:r w:rsidRPr="00295426">
              <w:rPr>
                <w:rStyle w:val="Lienhypertexte"/>
                <w:noProof/>
              </w:rPr>
              <w:t>2.2 - Acquisition des données Illumina</w:t>
            </w:r>
            <w:r>
              <w:rPr>
                <w:noProof/>
                <w:webHidden/>
              </w:rPr>
              <w:tab/>
            </w:r>
            <w:r>
              <w:rPr>
                <w:noProof/>
                <w:webHidden/>
              </w:rPr>
              <w:fldChar w:fldCharType="begin"/>
            </w:r>
            <w:r>
              <w:rPr>
                <w:noProof/>
                <w:webHidden/>
              </w:rPr>
              <w:instrText xml:space="preserve"> PAGEREF _Toc512854514 \h </w:instrText>
            </w:r>
            <w:r>
              <w:rPr>
                <w:noProof/>
                <w:webHidden/>
              </w:rPr>
            </w:r>
            <w:r>
              <w:rPr>
                <w:noProof/>
                <w:webHidden/>
              </w:rPr>
              <w:fldChar w:fldCharType="separate"/>
            </w:r>
            <w:r>
              <w:rPr>
                <w:noProof/>
                <w:webHidden/>
              </w:rPr>
              <w:t>2</w:t>
            </w:r>
            <w:r>
              <w:rPr>
                <w:noProof/>
                <w:webHidden/>
              </w:rPr>
              <w:fldChar w:fldCharType="end"/>
            </w:r>
          </w:hyperlink>
        </w:p>
        <w:p w14:paraId="273EC68B" w14:textId="77777777" w:rsidR="002F6302" w:rsidRDefault="002F6302">
          <w:pPr>
            <w:pStyle w:val="TM3"/>
            <w:tabs>
              <w:tab w:val="right" w:leader="dot" w:pos="9062"/>
            </w:tabs>
            <w:rPr>
              <w:rFonts w:eastAsiaTheme="minorEastAsia"/>
              <w:noProof/>
              <w:lang w:eastAsia="fr-FR"/>
            </w:rPr>
          </w:pPr>
          <w:hyperlink w:anchor="_Toc512854515" w:history="1">
            <w:r w:rsidRPr="00295426">
              <w:rPr>
                <w:rStyle w:val="Lienhypertexte"/>
                <w:noProof/>
              </w:rPr>
              <w:t>2.2.1 - Préparation de la banque</w:t>
            </w:r>
            <w:r>
              <w:rPr>
                <w:noProof/>
                <w:webHidden/>
              </w:rPr>
              <w:tab/>
            </w:r>
            <w:r>
              <w:rPr>
                <w:noProof/>
                <w:webHidden/>
              </w:rPr>
              <w:fldChar w:fldCharType="begin"/>
            </w:r>
            <w:r>
              <w:rPr>
                <w:noProof/>
                <w:webHidden/>
              </w:rPr>
              <w:instrText xml:space="preserve"> PAGEREF _Toc512854515 \h </w:instrText>
            </w:r>
            <w:r>
              <w:rPr>
                <w:noProof/>
                <w:webHidden/>
              </w:rPr>
            </w:r>
            <w:r>
              <w:rPr>
                <w:noProof/>
                <w:webHidden/>
              </w:rPr>
              <w:fldChar w:fldCharType="separate"/>
            </w:r>
            <w:r>
              <w:rPr>
                <w:noProof/>
                <w:webHidden/>
              </w:rPr>
              <w:t>2</w:t>
            </w:r>
            <w:r>
              <w:rPr>
                <w:noProof/>
                <w:webHidden/>
              </w:rPr>
              <w:fldChar w:fldCharType="end"/>
            </w:r>
          </w:hyperlink>
        </w:p>
        <w:p w14:paraId="2E53882E" w14:textId="77777777" w:rsidR="002F6302" w:rsidRDefault="002F6302">
          <w:pPr>
            <w:pStyle w:val="TM3"/>
            <w:tabs>
              <w:tab w:val="right" w:leader="dot" w:pos="9062"/>
            </w:tabs>
            <w:rPr>
              <w:rFonts w:eastAsiaTheme="minorEastAsia"/>
              <w:noProof/>
              <w:lang w:eastAsia="fr-FR"/>
            </w:rPr>
          </w:pPr>
          <w:hyperlink w:anchor="_Toc512854516" w:history="1">
            <w:r w:rsidRPr="00295426">
              <w:rPr>
                <w:rStyle w:val="Lienhypertexte"/>
                <w:noProof/>
              </w:rPr>
              <w:t>2.2.2 - Séquençage</w:t>
            </w:r>
            <w:r>
              <w:rPr>
                <w:noProof/>
                <w:webHidden/>
              </w:rPr>
              <w:tab/>
            </w:r>
            <w:r>
              <w:rPr>
                <w:noProof/>
                <w:webHidden/>
              </w:rPr>
              <w:fldChar w:fldCharType="begin"/>
            </w:r>
            <w:r>
              <w:rPr>
                <w:noProof/>
                <w:webHidden/>
              </w:rPr>
              <w:instrText xml:space="preserve"> PAGEREF _Toc512854516 \h </w:instrText>
            </w:r>
            <w:r>
              <w:rPr>
                <w:noProof/>
                <w:webHidden/>
              </w:rPr>
            </w:r>
            <w:r>
              <w:rPr>
                <w:noProof/>
                <w:webHidden/>
              </w:rPr>
              <w:fldChar w:fldCharType="separate"/>
            </w:r>
            <w:r>
              <w:rPr>
                <w:noProof/>
                <w:webHidden/>
              </w:rPr>
              <w:t>2</w:t>
            </w:r>
            <w:r>
              <w:rPr>
                <w:noProof/>
                <w:webHidden/>
              </w:rPr>
              <w:fldChar w:fldCharType="end"/>
            </w:r>
          </w:hyperlink>
        </w:p>
        <w:p w14:paraId="559C23B4" w14:textId="77777777" w:rsidR="002F6302" w:rsidRDefault="002F6302">
          <w:pPr>
            <w:pStyle w:val="TM3"/>
            <w:tabs>
              <w:tab w:val="right" w:leader="dot" w:pos="9062"/>
            </w:tabs>
            <w:rPr>
              <w:rFonts w:eastAsiaTheme="minorEastAsia"/>
              <w:noProof/>
              <w:lang w:eastAsia="fr-FR"/>
            </w:rPr>
          </w:pPr>
          <w:hyperlink w:anchor="_Toc512854517" w:history="1">
            <w:r w:rsidRPr="00295426">
              <w:rPr>
                <w:rStyle w:val="Lienhypertexte"/>
                <w:noProof/>
              </w:rPr>
              <w:t>2.2.3 - Démultiplexage et trimming des reads</w:t>
            </w:r>
            <w:r>
              <w:rPr>
                <w:noProof/>
                <w:webHidden/>
              </w:rPr>
              <w:tab/>
            </w:r>
            <w:r>
              <w:rPr>
                <w:noProof/>
                <w:webHidden/>
              </w:rPr>
              <w:fldChar w:fldCharType="begin"/>
            </w:r>
            <w:r>
              <w:rPr>
                <w:noProof/>
                <w:webHidden/>
              </w:rPr>
              <w:instrText xml:space="preserve"> PAGEREF _Toc512854517 \h </w:instrText>
            </w:r>
            <w:r>
              <w:rPr>
                <w:noProof/>
                <w:webHidden/>
              </w:rPr>
            </w:r>
            <w:r>
              <w:rPr>
                <w:noProof/>
                <w:webHidden/>
              </w:rPr>
              <w:fldChar w:fldCharType="separate"/>
            </w:r>
            <w:r>
              <w:rPr>
                <w:noProof/>
                <w:webHidden/>
              </w:rPr>
              <w:t>3</w:t>
            </w:r>
            <w:r>
              <w:rPr>
                <w:noProof/>
                <w:webHidden/>
              </w:rPr>
              <w:fldChar w:fldCharType="end"/>
            </w:r>
          </w:hyperlink>
        </w:p>
        <w:p w14:paraId="621285CF" w14:textId="77777777" w:rsidR="002F6302" w:rsidRDefault="002F6302">
          <w:pPr>
            <w:pStyle w:val="TM3"/>
            <w:tabs>
              <w:tab w:val="right" w:leader="dot" w:pos="9062"/>
            </w:tabs>
            <w:rPr>
              <w:rFonts w:eastAsiaTheme="minorEastAsia"/>
              <w:noProof/>
              <w:lang w:eastAsia="fr-FR"/>
            </w:rPr>
          </w:pPr>
          <w:hyperlink w:anchor="_Toc512854518" w:history="1">
            <w:r w:rsidRPr="00295426">
              <w:rPr>
                <w:rStyle w:val="Lienhypertexte"/>
                <w:noProof/>
              </w:rPr>
              <w:t>2.2.4 - Étape de préassemblage</w:t>
            </w:r>
            <w:r>
              <w:rPr>
                <w:noProof/>
                <w:webHidden/>
              </w:rPr>
              <w:tab/>
            </w:r>
            <w:r>
              <w:rPr>
                <w:noProof/>
                <w:webHidden/>
              </w:rPr>
              <w:fldChar w:fldCharType="begin"/>
            </w:r>
            <w:r>
              <w:rPr>
                <w:noProof/>
                <w:webHidden/>
              </w:rPr>
              <w:instrText xml:space="preserve"> PAGEREF _Toc512854518 \h </w:instrText>
            </w:r>
            <w:r>
              <w:rPr>
                <w:noProof/>
                <w:webHidden/>
              </w:rPr>
            </w:r>
            <w:r>
              <w:rPr>
                <w:noProof/>
                <w:webHidden/>
              </w:rPr>
              <w:fldChar w:fldCharType="separate"/>
            </w:r>
            <w:r>
              <w:rPr>
                <w:noProof/>
                <w:webHidden/>
              </w:rPr>
              <w:t>3</w:t>
            </w:r>
            <w:r>
              <w:rPr>
                <w:noProof/>
                <w:webHidden/>
              </w:rPr>
              <w:fldChar w:fldCharType="end"/>
            </w:r>
          </w:hyperlink>
        </w:p>
        <w:p w14:paraId="7BA432BB" w14:textId="77777777" w:rsidR="002F6302" w:rsidRDefault="002F6302">
          <w:pPr>
            <w:pStyle w:val="TM2"/>
            <w:tabs>
              <w:tab w:val="right" w:leader="dot" w:pos="9062"/>
            </w:tabs>
            <w:rPr>
              <w:rFonts w:eastAsiaTheme="minorEastAsia"/>
              <w:noProof/>
              <w:lang w:eastAsia="fr-FR"/>
            </w:rPr>
          </w:pPr>
          <w:hyperlink w:anchor="_Toc512854519" w:history="1">
            <w:r w:rsidRPr="00295426">
              <w:rPr>
                <w:rStyle w:val="Lienhypertexte"/>
                <w:noProof/>
              </w:rPr>
              <w:t>2.3 - Acquisition des données Nanopore</w:t>
            </w:r>
            <w:r>
              <w:rPr>
                <w:noProof/>
                <w:webHidden/>
              </w:rPr>
              <w:tab/>
            </w:r>
            <w:r>
              <w:rPr>
                <w:noProof/>
                <w:webHidden/>
              </w:rPr>
              <w:fldChar w:fldCharType="begin"/>
            </w:r>
            <w:r>
              <w:rPr>
                <w:noProof/>
                <w:webHidden/>
              </w:rPr>
              <w:instrText xml:space="preserve"> PAGEREF _Toc512854519 \h </w:instrText>
            </w:r>
            <w:r>
              <w:rPr>
                <w:noProof/>
                <w:webHidden/>
              </w:rPr>
            </w:r>
            <w:r>
              <w:rPr>
                <w:noProof/>
                <w:webHidden/>
              </w:rPr>
              <w:fldChar w:fldCharType="separate"/>
            </w:r>
            <w:r>
              <w:rPr>
                <w:noProof/>
                <w:webHidden/>
              </w:rPr>
              <w:t>4</w:t>
            </w:r>
            <w:r>
              <w:rPr>
                <w:noProof/>
                <w:webHidden/>
              </w:rPr>
              <w:fldChar w:fldCharType="end"/>
            </w:r>
          </w:hyperlink>
        </w:p>
        <w:p w14:paraId="653B3CA6" w14:textId="77777777" w:rsidR="002F6302" w:rsidRDefault="002F6302">
          <w:pPr>
            <w:pStyle w:val="TM3"/>
            <w:tabs>
              <w:tab w:val="right" w:leader="dot" w:pos="9062"/>
            </w:tabs>
            <w:rPr>
              <w:rFonts w:eastAsiaTheme="minorEastAsia"/>
              <w:noProof/>
              <w:lang w:eastAsia="fr-FR"/>
            </w:rPr>
          </w:pPr>
          <w:hyperlink w:anchor="_Toc512854520" w:history="1">
            <w:r w:rsidRPr="00295426">
              <w:rPr>
                <w:rStyle w:val="Lienhypertexte"/>
                <w:noProof/>
              </w:rPr>
              <w:t>2.3.1 - Préparation de la banque</w:t>
            </w:r>
            <w:r>
              <w:rPr>
                <w:noProof/>
                <w:webHidden/>
              </w:rPr>
              <w:tab/>
            </w:r>
            <w:r>
              <w:rPr>
                <w:noProof/>
                <w:webHidden/>
              </w:rPr>
              <w:fldChar w:fldCharType="begin"/>
            </w:r>
            <w:r>
              <w:rPr>
                <w:noProof/>
                <w:webHidden/>
              </w:rPr>
              <w:instrText xml:space="preserve"> PAGEREF _Toc512854520 \h </w:instrText>
            </w:r>
            <w:r>
              <w:rPr>
                <w:noProof/>
                <w:webHidden/>
              </w:rPr>
            </w:r>
            <w:r>
              <w:rPr>
                <w:noProof/>
                <w:webHidden/>
              </w:rPr>
              <w:fldChar w:fldCharType="separate"/>
            </w:r>
            <w:r>
              <w:rPr>
                <w:noProof/>
                <w:webHidden/>
              </w:rPr>
              <w:t>4</w:t>
            </w:r>
            <w:r>
              <w:rPr>
                <w:noProof/>
                <w:webHidden/>
              </w:rPr>
              <w:fldChar w:fldCharType="end"/>
            </w:r>
          </w:hyperlink>
        </w:p>
        <w:p w14:paraId="2C928AF1" w14:textId="77777777" w:rsidR="002F6302" w:rsidRDefault="002F6302">
          <w:pPr>
            <w:pStyle w:val="TM3"/>
            <w:tabs>
              <w:tab w:val="right" w:leader="dot" w:pos="9062"/>
            </w:tabs>
            <w:rPr>
              <w:rFonts w:eastAsiaTheme="minorEastAsia"/>
              <w:noProof/>
              <w:lang w:eastAsia="fr-FR"/>
            </w:rPr>
          </w:pPr>
          <w:hyperlink w:anchor="_Toc512854521" w:history="1">
            <w:r w:rsidRPr="00295426">
              <w:rPr>
                <w:rStyle w:val="Lienhypertexte"/>
                <w:noProof/>
              </w:rPr>
              <w:t>2.3.2 - Séquençage</w:t>
            </w:r>
            <w:r>
              <w:rPr>
                <w:noProof/>
                <w:webHidden/>
              </w:rPr>
              <w:tab/>
            </w:r>
            <w:r>
              <w:rPr>
                <w:noProof/>
                <w:webHidden/>
              </w:rPr>
              <w:fldChar w:fldCharType="begin"/>
            </w:r>
            <w:r>
              <w:rPr>
                <w:noProof/>
                <w:webHidden/>
              </w:rPr>
              <w:instrText xml:space="preserve"> PAGEREF _Toc512854521 \h </w:instrText>
            </w:r>
            <w:r>
              <w:rPr>
                <w:noProof/>
                <w:webHidden/>
              </w:rPr>
            </w:r>
            <w:r>
              <w:rPr>
                <w:noProof/>
                <w:webHidden/>
              </w:rPr>
              <w:fldChar w:fldCharType="separate"/>
            </w:r>
            <w:r>
              <w:rPr>
                <w:noProof/>
                <w:webHidden/>
              </w:rPr>
              <w:t>4</w:t>
            </w:r>
            <w:r>
              <w:rPr>
                <w:noProof/>
                <w:webHidden/>
              </w:rPr>
              <w:fldChar w:fldCharType="end"/>
            </w:r>
          </w:hyperlink>
        </w:p>
        <w:p w14:paraId="0CE902D7" w14:textId="77777777" w:rsidR="002F6302" w:rsidRDefault="002F6302">
          <w:pPr>
            <w:pStyle w:val="TM3"/>
            <w:tabs>
              <w:tab w:val="right" w:leader="dot" w:pos="9062"/>
            </w:tabs>
            <w:rPr>
              <w:rFonts w:eastAsiaTheme="minorEastAsia"/>
              <w:noProof/>
              <w:lang w:eastAsia="fr-FR"/>
            </w:rPr>
          </w:pPr>
          <w:hyperlink w:anchor="_Toc512854522" w:history="1">
            <w:r w:rsidRPr="00295426">
              <w:rPr>
                <w:rStyle w:val="Lienhypertexte"/>
                <w:noProof/>
              </w:rPr>
              <w:t>2.3.3 - Appel de bases</w:t>
            </w:r>
            <w:r>
              <w:rPr>
                <w:noProof/>
                <w:webHidden/>
              </w:rPr>
              <w:tab/>
            </w:r>
            <w:r>
              <w:rPr>
                <w:noProof/>
                <w:webHidden/>
              </w:rPr>
              <w:fldChar w:fldCharType="begin"/>
            </w:r>
            <w:r>
              <w:rPr>
                <w:noProof/>
                <w:webHidden/>
              </w:rPr>
              <w:instrText xml:space="preserve"> PAGEREF _Toc512854522 \h </w:instrText>
            </w:r>
            <w:r>
              <w:rPr>
                <w:noProof/>
                <w:webHidden/>
              </w:rPr>
            </w:r>
            <w:r>
              <w:rPr>
                <w:noProof/>
                <w:webHidden/>
              </w:rPr>
              <w:fldChar w:fldCharType="separate"/>
            </w:r>
            <w:r>
              <w:rPr>
                <w:noProof/>
                <w:webHidden/>
              </w:rPr>
              <w:t>4</w:t>
            </w:r>
            <w:r>
              <w:rPr>
                <w:noProof/>
                <w:webHidden/>
              </w:rPr>
              <w:fldChar w:fldCharType="end"/>
            </w:r>
          </w:hyperlink>
        </w:p>
        <w:p w14:paraId="621EA9ED" w14:textId="77777777" w:rsidR="002F6302" w:rsidRDefault="002F6302">
          <w:pPr>
            <w:pStyle w:val="TM3"/>
            <w:tabs>
              <w:tab w:val="right" w:leader="dot" w:pos="9062"/>
            </w:tabs>
            <w:rPr>
              <w:rFonts w:eastAsiaTheme="minorEastAsia"/>
              <w:noProof/>
              <w:lang w:eastAsia="fr-FR"/>
            </w:rPr>
          </w:pPr>
          <w:hyperlink w:anchor="_Toc512854523" w:history="1">
            <w:r w:rsidRPr="00295426">
              <w:rPr>
                <w:rStyle w:val="Lienhypertexte"/>
                <w:noProof/>
              </w:rPr>
              <w:t>2.3.4 - Trimming et filtration des reads</w:t>
            </w:r>
            <w:r>
              <w:rPr>
                <w:noProof/>
                <w:webHidden/>
              </w:rPr>
              <w:tab/>
            </w:r>
            <w:r>
              <w:rPr>
                <w:noProof/>
                <w:webHidden/>
              </w:rPr>
              <w:fldChar w:fldCharType="begin"/>
            </w:r>
            <w:r>
              <w:rPr>
                <w:noProof/>
                <w:webHidden/>
              </w:rPr>
              <w:instrText xml:space="preserve"> PAGEREF _Toc512854523 \h </w:instrText>
            </w:r>
            <w:r>
              <w:rPr>
                <w:noProof/>
                <w:webHidden/>
              </w:rPr>
            </w:r>
            <w:r>
              <w:rPr>
                <w:noProof/>
                <w:webHidden/>
              </w:rPr>
              <w:fldChar w:fldCharType="separate"/>
            </w:r>
            <w:r>
              <w:rPr>
                <w:noProof/>
                <w:webHidden/>
              </w:rPr>
              <w:t>4</w:t>
            </w:r>
            <w:r>
              <w:rPr>
                <w:noProof/>
                <w:webHidden/>
              </w:rPr>
              <w:fldChar w:fldCharType="end"/>
            </w:r>
          </w:hyperlink>
        </w:p>
        <w:p w14:paraId="4D69CF4D" w14:textId="77777777" w:rsidR="002F6302" w:rsidRDefault="002F6302">
          <w:pPr>
            <w:pStyle w:val="TM3"/>
            <w:tabs>
              <w:tab w:val="right" w:leader="dot" w:pos="9062"/>
            </w:tabs>
            <w:rPr>
              <w:rFonts w:eastAsiaTheme="minorEastAsia"/>
              <w:noProof/>
              <w:lang w:eastAsia="fr-FR"/>
            </w:rPr>
          </w:pPr>
          <w:hyperlink w:anchor="_Toc512854524" w:history="1">
            <w:r w:rsidRPr="00295426">
              <w:rPr>
                <w:rStyle w:val="Lienhypertexte"/>
                <w:noProof/>
              </w:rPr>
              <w:t>2.3.5 - Correction des reads</w:t>
            </w:r>
            <w:r>
              <w:rPr>
                <w:noProof/>
                <w:webHidden/>
              </w:rPr>
              <w:tab/>
            </w:r>
            <w:r>
              <w:rPr>
                <w:noProof/>
                <w:webHidden/>
              </w:rPr>
              <w:fldChar w:fldCharType="begin"/>
            </w:r>
            <w:r>
              <w:rPr>
                <w:noProof/>
                <w:webHidden/>
              </w:rPr>
              <w:instrText xml:space="preserve"> PAGEREF _Toc512854524 \h </w:instrText>
            </w:r>
            <w:r>
              <w:rPr>
                <w:noProof/>
                <w:webHidden/>
              </w:rPr>
            </w:r>
            <w:r>
              <w:rPr>
                <w:noProof/>
                <w:webHidden/>
              </w:rPr>
              <w:fldChar w:fldCharType="separate"/>
            </w:r>
            <w:r>
              <w:rPr>
                <w:noProof/>
                <w:webHidden/>
              </w:rPr>
              <w:t>5</w:t>
            </w:r>
            <w:r>
              <w:rPr>
                <w:noProof/>
                <w:webHidden/>
              </w:rPr>
              <w:fldChar w:fldCharType="end"/>
            </w:r>
          </w:hyperlink>
        </w:p>
        <w:p w14:paraId="6F428D85" w14:textId="77777777" w:rsidR="002F6302" w:rsidRDefault="002F6302">
          <w:pPr>
            <w:pStyle w:val="TM2"/>
            <w:tabs>
              <w:tab w:val="right" w:leader="dot" w:pos="9062"/>
            </w:tabs>
            <w:rPr>
              <w:rFonts w:eastAsiaTheme="minorEastAsia"/>
              <w:noProof/>
              <w:lang w:eastAsia="fr-FR"/>
            </w:rPr>
          </w:pPr>
          <w:hyperlink w:anchor="_Toc512854525" w:history="1">
            <w:r w:rsidRPr="00295426">
              <w:rPr>
                <w:rStyle w:val="Lienhypertexte"/>
                <w:noProof/>
              </w:rPr>
              <w:t>2.4 - Assemblage hybride des reads</w:t>
            </w:r>
            <w:r>
              <w:rPr>
                <w:noProof/>
                <w:webHidden/>
              </w:rPr>
              <w:tab/>
            </w:r>
            <w:r>
              <w:rPr>
                <w:noProof/>
                <w:webHidden/>
              </w:rPr>
              <w:fldChar w:fldCharType="begin"/>
            </w:r>
            <w:r>
              <w:rPr>
                <w:noProof/>
                <w:webHidden/>
              </w:rPr>
              <w:instrText xml:space="preserve"> PAGEREF _Toc512854525 \h </w:instrText>
            </w:r>
            <w:r>
              <w:rPr>
                <w:noProof/>
                <w:webHidden/>
              </w:rPr>
            </w:r>
            <w:r>
              <w:rPr>
                <w:noProof/>
                <w:webHidden/>
              </w:rPr>
              <w:fldChar w:fldCharType="separate"/>
            </w:r>
            <w:r>
              <w:rPr>
                <w:noProof/>
                <w:webHidden/>
              </w:rPr>
              <w:t>5</w:t>
            </w:r>
            <w:r>
              <w:rPr>
                <w:noProof/>
                <w:webHidden/>
              </w:rPr>
              <w:fldChar w:fldCharType="end"/>
            </w:r>
          </w:hyperlink>
        </w:p>
        <w:p w14:paraId="673C0B45" w14:textId="77777777" w:rsidR="002F6302" w:rsidRDefault="002F6302">
          <w:pPr>
            <w:pStyle w:val="TM3"/>
            <w:tabs>
              <w:tab w:val="right" w:leader="dot" w:pos="9062"/>
            </w:tabs>
            <w:rPr>
              <w:rFonts w:eastAsiaTheme="minorEastAsia"/>
              <w:noProof/>
              <w:lang w:eastAsia="fr-FR"/>
            </w:rPr>
          </w:pPr>
          <w:hyperlink w:anchor="_Toc512854526" w:history="1">
            <w:r w:rsidRPr="00295426">
              <w:rPr>
                <w:rStyle w:val="Lienhypertexte"/>
                <w:noProof/>
              </w:rPr>
              <w:t>2.4.1 - SPAdes</w:t>
            </w:r>
            <w:r>
              <w:rPr>
                <w:noProof/>
                <w:webHidden/>
              </w:rPr>
              <w:tab/>
            </w:r>
            <w:r>
              <w:rPr>
                <w:noProof/>
                <w:webHidden/>
              </w:rPr>
              <w:fldChar w:fldCharType="begin"/>
            </w:r>
            <w:r>
              <w:rPr>
                <w:noProof/>
                <w:webHidden/>
              </w:rPr>
              <w:instrText xml:space="preserve"> PAGEREF _Toc512854526 \h </w:instrText>
            </w:r>
            <w:r>
              <w:rPr>
                <w:noProof/>
                <w:webHidden/>
              </w:rPr>
            </w:r>
            <w:r>
              <w:rPr>
                <w:noProof/>
                <w:webHidden/>
              </w:rPr>
              <w:fldChar w:fldCharType="separate"/>
            </w:r>
            <w:r>
              <w:rPr>
                <w:noProof/>
                <w:webHidden/>
              </w:rPr>
              <w:t>5</w:t>
            </w:r>
            <w:r>
              <w:rPr>
                <w:noProof/>
                <w:webHidden/>
              </w:rPr>
              <w:fldChar w:fldCharType="end"/>
            </w:r>
          </w:hyperlink>
        </w:p>
        <w:p w14:paraId="05893BE6" w14:textId="77777777" w:rsidR="002F6302" w:rsidRDefault="002F6302">
          <w:pPr>
            <w:pStyle w:val="TM3"/>
            <w:tabs>
              <w:tab w:val="right" w:leader="dot" w:pos="9062"/>
            </w:tabs>
            <w:rPr>
              <w:rFonts w:eastAsiaTheme="minorEastAsia"/>
              <w:noProof/>
              <w:lang w:eastAsia="fr-FR"/>
            </w:rPr>
          </w:pPr>
          <w:hyperlink w:anchor="_Toc512854527" w:history="1">
            <w:r w:rsidRPr="00295426">
              <w:rPr>
                <w:rStyle w:val="Lienhypertexte"/>
                <w:noProof/>
              </w:rPr>
              <w:t>2.4.2 - MaSuRCA</w:t>
            </w:r>
            <w:r>
              <w:rPr>
                <w:noProof/>
                <w:webHidden/>
              </w:rPr>
              <w:tab/>
            </w:r>
            <w:r>
              <w:rPr>
                <w:noProof/>
                <w:webHidden/>
              </w:rPr>
              <w:fldChar w:fldCharType="begin"/>
            </w:r>
            <w:r>
              <w:rPr>
                <w:noProof/>
                <w:webHidden/>
              </w:rPr>
              <w:instrText xml:space="preserve"> PAGEREF _Toc512854527 \h </w:instrText>
            </w:r>
            <w:r>
              <w:rPr>
                <w:noProof/>
                <w:webHidden/>
              </w:rPr>
            </w:r>
            <w:r>
              <w:rPr>
                <w:noProof/>
                <w:webHidden/>
              </w:rPr>
              <w:fldChar w:fldCharType="separate"/>
            </w:r>
            <w:r>
              <w:rPr>
                <w:noProof/>
                <w:webHidden/>
              </w:rPr>
              <w:t>5</w:t>
            </w:r>
            <w:r>
              <w:rPr>
                <w:noProof/>
                <w:webHidden/>
              </w:rPr>
              <w:fldChar w:fldCharType="end"/>
            </w:r>
          </w:hyperlink>
        </w:p>
        <w:p w14:paraId="7CCB9442" w14:textId="77777777" w:rsidR="002F6302" w:rsidRDefault="002F6302">
          <w:pPr>
            <w:pStyle w:val="TM3"/>
            <w:tabs>
              <w:tab w:val="right" w:leader="dot" w:pos="9062"/>
            </w:tabs>
            <w:rPr>
              <w:rFonts w:eastAsiaTheme="minorEastAsia"/>
              <w:noProof/>
              <w:lang w:eastAsia="fr-FR"/>
            </w:rPr>
          </w:pPr>
          <w:hyperlink w:anchor="_Toc512854528" w:history="1">
            <w:r w:rsidRPr="00295426">
              <w:rPr>
                <w:rStyle w:val="Lienhypertexte"/>
                <w:noProof/>
              </w:rPr>
              <w:t>2.4.3 - Contrôle qualité de l’assemblage</w:t>
            </w:r>
            <w:r>
              <w:rPr>
                <w:noProof/>
                <w:webHidden/>
              </w:rPr>
              <w:tab/>
            </w:r>
            <w:r>
              <w:rPr>
                <w:noProof/>
                <w:webHidden/>
              </w:rPr>
              <w:fldChar w:fldCharType="begin"/>
            </w:r>
            <w:r>
              <w:rPr>
                <w:noProof/>
                <w:webHidden/>
              </w:rPr>
              <w:instrText xml:space="preserve"> PAGEREF _Toc512854528 \h </w:instrText>
            </w:r>
            <w:r>
              <w:rPr>
                <w:noProof/>
                <w:webHidden/>
              </w:rPr>
            </w:r>
            <w:r>
              <w:rPr>
                <w:noProof/>
                <w:webHidden/>
              </w:rPr>
              <w:fldChar w:fldCharType="separate"/>
            </w:r>
            <w:r>
              <w:rPr>
                <w:noProof/>
                <w:webHidden/>
              </w:rPr>
              <w:t>5</w:t>
            </w:r>
            <w:r>
              <w:rPr>
                <w:noProof/>
                <w:webHidden/>
              </w:rPr>
              <w:fldChar w:fldCharType="end"/>
            </w:r>
          </w:hyperlink>
        </w:p>
        <w:p w14:paraId="2903A08A" w14:textId="77777777" w:rsidR="002F6302" w:rsidRDefault="002F6302">
          <w:pPr>
            <w:pStyle w:val="TM1"/>
            <w:tabs>
              <w:tab w:val="right" w:leader="dot" w:pos="9062"/>
            </w:tabs>
            <w:rPr>
              <w:rFonts w:eastAsiaTheme="minorEastAsia"/>
              <w:noProof/>
              <w:lang w:eastAsia="fr-FR"/>
            </w:rPr>
          </w:pPr>
          <w:hyperlink w:anchor="_Toc512854529" w:history="1">
            <w:r w:rsidRPr="00295426">
              <w:rPr>
                <w:rStyle w:val="Lienhypertexte"/>
                <w:noProof/>
              </w:rPr>
              <w:t>3 - Résultats</w:t>
            </w:r>
            <w:r>
              <w:rPr>
                <w:noProof/>
                <w:webHidden/>
              </w:rPr>
              <w:tab/>
            </w:r>
            <w:r>
              <w:rPr>
                <w:noProof/>
                <w:webHidden/>
              </w:rPr>
              <w:fldChar w:fldCharType="begin"/>
            </w:r>
            <w:r>
              <w:rPr>
                <w:noProof/>
                <w:webHidden/>
              </w:rPr>
              <w:instrText xml:space="preserve"> PAGEREF _Toc512854529 \h </w:instrText>
            </w:r>
            <w:r>
              <w:rPr>
                <w:noProof/>
                <w:webHidden/>
              </w:rPr>
            </w:r>
            <w:r>
              <w:rPr>
                <w:noProof/>
                <w:webHidden/>
              </w:rPr>
              <w:fldChar w:fldCharType="separate"/>
            </w:r>
            <w:r>
              <w:rPr>
                <w:noProof/>
                <w:webHidden/>
              </w:rPr>
              <w:t>6</w:t>
            </w:r>
            <w:r>
              <w:rPr>
                <w:noProof/>
                <w:webHidden/>
              </w:rPr>
              <w:fldChar w:fldCharType="end"/>
            </w:r>
          </w:hyperlink>
        </w:p>
        <w:p w14:paraId="0B328BA7" w14:textId="77777777" w:rsidR="002F6302" w:rsidRDefault="002F6302">
          <w:pPr>
            <w:pStyle w:val="TM2"/>
            <w:tabs>
              <w:tab w:val="right" w:leader="dot" w:pos="9062"/>
            </w:tabs>
            <w:rPr>
              <w:rFonts w:eastAsiaTheme="minorEastAsia"/>
              <w:noProof/>
              <w:lang w:eastAsia="fr-FR"/>
            </w:rPr>
          </w:pPr>
          <w:hyperlink w:anchor="_Toc512854530" w:history="1">
            <w:r w:rsidRPr="00295426">
              <w:rPr>
                <w:rStyle w:val="Lienhypertexte"/>
                <w:noProof/>
              </w:rPr>
              <w:t>3.1 - Séquençage Illumina</w:t>
            </w:r>
            <w:r>
              <w:rPr>
                <w:noProof/>
                <w:webHidden/>
              </w:rPr>
              <w:tab/>
            </w:r>
            <w:r>
              <w:rPr>
                <w:noProof/>
                <w:webHidden/>
              </w:rPr>
              <w:fldChar w:fldCharType="begin"/>
            </w:r>
            <w:r>
              <w:rPr>
                <w:noProof/>
                <w:webHidden/>
              </w:rPr>
              <w:instrText xml:space="preserve"> PAGEREF _Toc512854530 \h </w:instrText>
            </w:r>
            <w:r>
              <w:rPr>
                <w:noProof/>
                <w:webHidden/>
              </w:rPr>
            </w:r>
            <w:r>
              <w:rPr>
                <w:noProof/>
                <w:webHidden/>
              </w:rPr>
              <w:fldChar w:fldCharType="separate"/>
            </w:r>
            <w:r>
              <w:rPr>
                <w:noProof/>
                <w:webHidden/>
              </w:rPr>
              <w:t>6</w:t>
            </w:r>
            <w:r>
              <w:rPr>
                <w:noProof/>
                <w:webHidden/>
              </w:rPr>
              <w:fldChar w:fldCharType="end"/>
            </w:r>
          </w:hyperlink>
        </w:p>
        <w:p w14:paraId="2D243E04" w14:textId="77777777" w:rsidR="002F6302" w:rsidRDefault="002F6302">
          <w:pPr>
            <w:pStyle w:val="TM2"/>
            <w:tabs>
              <w:tab w:val="right" w:leader="dot" w:pos="9062"/>
            </w:tabs>
            <w:rPr>
              <w:rFonts w:eastAsiaTheme="minorEastAsia"/>
              <w:noProof/>
              <w:lang w:eastAsia="fr-FR"/>
            </w:rPr>
          </w:pPr>
          <w:hyperlink w:anchor="_Toc512854531" w:history="1">
            <w:r w:rsidRPr="00295426">
              <w:rPr>
                <w:rStyle w:val="Lienhypertexte"/>
                <w:noProof/>
              </w:rPr>
              <w:t>3.2 - Séquençage Nanopore</w:t>
            </w:r>
            <w:r>
              <w:rPr>
                <w:noProof/>
                <w:webHidden/>
              </w:rPr>
              <w:tab/>
            </w:r>
            <w:r>
              <w:rPr>
                <w:noProof/>
                <w:webHidden/>
              </w:rPr>
              <w:fldChar w:fldCharType="begin"/>
            </w:r>
            <w:r>
              <w:rPr>
                <w:noProof/>
                <w:webHidden/>
              </w:rPr>
              <w:instrText xml:space="preserve"> PAGEREF _Toc512854531 \h </w:instrText>
            </w:r>
            <w:r>
              <w:rPr>
                <w:noProof/>
                <w:webHidden/>
              </w:rPr>
            </w:r>
            <w:r>
              <w:rPr>
                <w:noProof/>
                <w:webHidden/>
              </w:rPr>
              <w:fldChar w:fldCharType="separate"/>
            </w:r>
            <w:r>
              <w:rPr>
                <w:noProof/>
                <w:webHidden/>
              </w:rPr>
              <w:t>6</w:t>
            </w:r>
            <w:r>
              <w:rPr>
                <w:noProof/>
                <w:webHidden/>
              </w:rPr>
              <w:fldChar w:fldCharType="end"/>
            </w:r>
          </w:hyperlink>
        </w:p>
        <w:p w14:paraId="626BE9B5" w14:textId="77777777" w:rsidR="002F6302" w:rsidRDefault="002F6302">
          <w:pPr>
            <w:pStyle w:val="TM2"/>
            <w:tabs>
              <w:tab w:val="right" w:leader="dot" w:pos="9062"/>
            </w:tabs>
            <w:rPr>
              <w:rFonts w:eastAsiaTheme="minorEastAsia"/>
              <w:noProof/>
              <w:lang w:eastAsia="fr-FR"/>
            </w:rPr>
          </w:pPr>
          <w:hyperlink w:anchor="_Toc512854532" w:history="1">
            <w:r w:rsidRPr="00295426">
              <w:rPr>
                <w:rStyle w:val="Lienhypertexte"/>
                <w:noProof/>
              </w:rPr>
              <w:t>3.3 - Assemblage hybride</w:t>
            </w:r>
            <w:r>
              <w:rPr>
                <w:noProof/>
                <w:webHidden/>
              </w:rPr>
              <w:tab/>
            </w:r>
            <w:r>
              <w:rPr>
                <w:noProof/>
                <w:webHidden/>
              </w:rPr>
              <w:fldChar w:fldCharType="begin"/>
            </w:r>
            <w:r>
              <w:rPr>
                <w:noProof/>
                <w:webHidden/>
              </w:rPr>
              <w:instrText xml:space="preserve"> PAGEREF _Toc512854532 \h </w:instrText>
            </w:r>
            <w:r>
              <w:rPr>
                <w:noProof/>
                <w:webHidden/>
              </w:rPr>
            </w:r>
            <w:r>
              <w:rPr>
                <w:noProof/>
                <w:webHidden/>
              </w:rPr>
              <w:fldChar w:fldCharType="separate"/>
            </w:r>
            <w:r>
              <w:rPr>
                <w:noProof/>
                <w:webHidden/>
              </w:rPr>
              <w:t>6</w:t>
            </w:r>
            <w:r>
              <w:rPr>
                <w:noProof/>
                <w:webHidden/>
              </w:rPr>
              <w:fldChar w:fldCharType="end"/>
            </w:r>
          </w:hyperlink>
        </w:p>
        <w:p w14:paraId="60F19ED1" w14:textId="77777777" w:rsidR="002F6302" w:rsidRDefault="002F6302">
          <w:pPr>
            <w:pStyle w:val="TM1"/>
            <w:tabs>
              <w:tab w:val="right" w:leader="dot" w:pos="9062"/>
            </w:tabs>
            <w:rPr>
              <w:rFonts w:eastAsiaTheme="minorEastAsia"/>
              <w:noProof/>
              <w:lang w:eastAsia="fr-FR"/>
            </w:rPr>
          </w:pPr>
          <w:hyperlink w:anchor="_Toc512854533" w:history="1">
            <w:r w:rsidRPr="00295426">
              <w:rPr>
                <w:rStyle w:val="Lienhypertexte"/>
                <w:noProof/>
              </w:rPr>
              <w:t>4 - Discussion</w:t>
            </w:r>
            <w:r>
              <w:rPr>
                <w:noProof/>
                <w:webHidden/>
              </w:rPr>
              <w:tab/>
            </w:r>
            <w:r>
              <w:rPr>
                <w:noProof/>
                <w:webHidden/>
              </w:rPr>
              <w:fldChar w:fldCharType="begin"/>
            </w:r>
            <w:r>
              <w:rPr>
                <w:noProof/>
                <w:webHidden/>
              </w:rPr>
              <w:instrText xml:space="preserve"> PAGEREF _Toc512854533 \h </w:instrText>
            </w:r>
            <w:r>
              <w:rPr>
                <w:noProof/>
                <w:webHidden/>
              </w:rPr>
            </w:r>
            <w:r>
              <w:rPr>
                <w:noProof/>
                <w:webHidden/>
              </w:rPr>
              <w:fldChar w:fldCharType="separate"/>
            </w:r>
            <w:r>
              <w:rPr>
                <w:noProof/>
                <w:webHidden/>
              </w:rPr>
              <w:t>7</w:t>
            </w:r>
            <w:r>
              <w:rPr>
                <w:noProof/>
                <w:webHidden/>
              </w:rPr>
              <w:fldChar w:fldCharType="end"/>
            </w:r>
          </w:hyperlink>
        </w:p>
        <w:p w14:paraId="30669E81" w14:textId="77777777" w:rsidR="002F6302" w:rsidRDefault="002F6302">
          <w:pPr>
            <w:pStyle w:val="TM1"/>
            <w:tabs>
              <w:tab w:val="right" w:leader="dot" w:pos="9062"/>
            </w:tabs>
            <w:rPr>
              <w:rFonts w:eastAsiaTheme="minorEastAsia"/>
              <w:noProof/>
              <w:lang w:eastAsia="fr-FR"/>
            </w:rPr>
          </w:pPr>
          <w:hyperlink w:anchor="_Toc512854534" w:history="1">
            <w:r w:rsidRPr="00295426">
              <w:rPr>
                <w:rStyle w:val="Lienhypertexte"/>
                <w:noProof/>
              </w:rPr>
              <w:t>5 - Bibliographie</w:t>
            </w:r>
            <w:r>
              <w:rPr>
                <w:noProof/>
                <w:webHidden/>
              </w:rPr>
              <w:tab/>
            </w:r>
            <w:r>
              <w:rPr>
                <w:noProof/>
                <w:webHidden/>
              </w:rPr>
              <w:fldChar w:fldCharType="begin"/>
            </w:r>
            <w:r>
              <w:rPr>
                <w:noProof/>
                <w:webHidden/>
              </w:rPr>
              <w:instrText xml:space="preserve"> PAGEREF _Toc512854534 \h </w:instrText>
            </w:r>
            <w:r>
              <w:rPr>
                <w:noProof/>
                <w:webHidden/>
              </w:rPr>
            </w:r>
            <w:r>
              <w:rPr>
                <w:noProof/>
                <w:webHidden/>
              </w:rPr>
              <w:fldChar w:fldCharType="separate"/>
            </w:r>
            <w:r>
              <w:rPr>
                <w:noProof/>
                <w:webHidden/>
              </w:rPr>
              <w:t>7</w:t>
            </w:r>
            <w:r>
              <w:rPr>
                <w:noProof/>
                <w:webHidden/>
              </w:rPr>
              <w:fldChar w:fldCharType="end"/>
            </w:r>
          </w:hyperlink>
        </w:p>
        <w:p w14:paraId="6BDB87E3" w14:textId="77777777" w:rsidR="002F6302" w:rsidRDefault="002F6302">
          <w:pPr>
            <w:pStyle w:val="TM1"/>
            <w:tabs>
              <w:tab w:val="right" w:leader="dot" w:pos="9062"/>
            </w:tabs>
            <w:rPr>
              <w:rFonts w:eastAsiaTheme="minorEastAsia"/>
              <w:noProof/>
              <w:lang w:eastAsia="fr-FR"/>
            </w:rPr>
          </w:pPr>
          <w:hyperlink w:anchor="_Toc512854535" w:history="1">
            <w:r w:rsidRPr="00295426">
              <w:rPr>
                <w:rStyle w:val="Lienhypertexte"/>
                <w:noProof/>
                <w:lang w:val="en-US"/>
              </w:rPr>
              <w:t>6 - Figures</w:t>
            </w:r>
            <w:r>
              <w:rPr>
                <w:noProof/>
                <w:webHidden/>
              </w:rPr>
              <w:tab/>
            </w:r>
            <w:r>
              <w:rPr>
                <w:noProof/>
                <w:webHidden/>
              </w:rPr>
              <w:fldChar w:fldCharType="begin"/>
            </w:r>
            <w:r>
              <w:rPr>
                <w:noProof/>
                <w:webHidden/>
              </w:rPr>
              <w:instrText xml:space="preserve"> PAGEREF _Toc512854535 \h </w:instrText>
            </w:r>
            <w:r>
              <w:rPr>
                <w:noProof/>
                <w:webHidden/>
              </w:rPr>
            </w:r>
            <w:r>
              <w:rPr>
                <w:noProof/>
                <w:webHidden/>
              </w:rPr>
              <w:fldChar w:fldCharType="separate"/>
            </w:r>
            <w:r>
              <w:rPr>
                <w:noProof/>
                <w:webHidden/>
              </w:rPr>
              <w:t>8</w:t>
            </w:r>
            <w:r>
              <w:rPr>
                <w:noProof/>
                <w:webHidden/>
              </w:rPr>
              <w:fldChar w:fldCharType="end"/>
            </w:r>
          </w:hyperlink>
        </w:p>
        <w:p w14:paraId="51A675CB" w14:textId="77777777" w:rsidR="00AD2D2A" w:rsidRDefault="00AD2D2A">
          <w:r>
            <w:rPr>
              <w:b/>
              <w:bCs/>
            </w:rPr>
            <w:fldChar w:fldCharType="end"/>
          </w:r>
        </w:p>
      </w:sdtContent>
    </w:sdt>
    <w:p w14:paraId="7A01DA96" w14:textId="77777777" w:rsidR="00FE7CA7" w:rsidRDefault="00FE7CA7" w:rsidP="00FE7CA7">
      <w:pPr>
        <w:pStyle w:val="Titre1"/>
      </w:pPr>
      <w:bookmarkStart w:id="0" w:name="_Toc512854511"/>
      <w:r>
        <w:t>Introduction</w:t>
      </w:r>
      <w:bookmarkEnd w:id="0"/>
    </w:p>
    <w:p w14:paraId="342BB7A3" w14:textId="442E9F25" w:rsidR="00E54758" w:rsidRPr="00505280" w:rsidRDefault="00E54758" w:rsidP="00E54758">
      <w:r>
        <w:t xml:space="preserve">Le virus </w:t>
      </w:r>
      <w:proofErr w:type="spellStart"/>
      <w:r>
        <w:t>Nipah</w:t>
      </w:r>
      <w:proofErr w:type="spellEnd"/>
      <w:r>
        <w:t xml:space="preserve"> (</w:t>
      </w:r>
      <w:proofErr w:type="spellStart"/>
      <w:r>
        <w:t>NiV</w:t>
      </w:r>
      <w:proofErr w:type="spellEnd"/>
      <w:r>
        <w:t>),</w:t>
      </w:r>
      <w:r w:rsidR="00464537">
        <w:t xml:space="preserve"> découvert récemment en 1998</w:t>
      </w:r>
      <w:r w:rsidR="002F6302">
        <w:t xml:space="preserve"> </w:t>
      </w:r>
      <w:r w:rsidR="002F6302">
        <w:fldChar w:fldCharType="begin"/>
      </w:r>
      <w:r w:rsidR="002F6302">
        <w:instrText xml:space="preserve"> ADDIN ZOTERO_ITEM CSL_CITATION {"citationID":"p1jiXtvq","properties":{"formattedCitation":"\\super 1\\nosupersub{}","plainCitation":"1","noteIndex":0},"citationItems":[{"id":15,"uris":["http://zotero.org/users/4907092/items/EVUFTNBZ"],"uri":["http://zotero.org/users/4907092/items/EVUFTNBZ"],"itemData":{"id":15,"type":"article-journal","title":"Nipah Virus: A Recently Emergent Deadly Paramyxovirus","container-title":"Science","page":"1432-1435","volume":"288","issue":"5470","source":"Crossref","DOI":"10.1126/science.288.5470.1432","ISSN":"00368075, 10959203","shortTitle":"Nipah Virus","author":[{"family":"Chua","given":"K. B."}],"issued":{"date-parts":[["2000",5,26]]}}}],"schema":"https://github.com/citation-style-language/schema/raw/master/csl-citation.json"} </w:instrText>
      </w:r>
      <w:r w:rsidR="002F6302">
        <w:fldChar w:fldCharType="separate"/>
      </w:r>
      <w:r w:rsidR="002F6302" w:rsidRPr="002F6302">
        <w:rPr>
          <w:rFonts w:ascii="Calibri" w:hAnsi="Calibri" w:cs="Times New Roman"/>
          <w:szCs w:val="24"/>
          <w:vertAlign w:val="superscript"/>
        </w:rPr>
        <w:t>1</w:t>
      </w:r>
      <w:r w:rsidR="002F6302">
        <w:fldChar w:fldCharType="end"/>
      </w:r>
      <w:r>
        <w:t>, a depuis été associé à de sév</w:t>
      </w:r>
      <w:r w:rsidR="002F6302">
        <w:t xml:space="preserve">ère pathologies chez l’homme </w:t>
      </w:r>
      <w:r w:rsidR="002F6302">
        <w:fldChar w:fldCharType="begin"/>
      </w:r>
      <w:r w:rsidR="002F6302">
        <w:instrText xml:space="preserve"> ADDIN ZOTERO_ITEM CSL_CITATION {"citationID":"f3Ull2MD","properties":{"formattedCitation":"\\super 2\\nosupersub{}","plainCitation":"2","noteIndex":0},"citationItems":[{"id":16,"uris":["http://zotero.org/users/4907092/items/ANV7JZ4L"],"uri":["http://zotero.org/users/4907092/items/ANV7JZ4L"],"itemData":{"id":16,"type":"article-journal","title":"Hendra and Nipah viruses: why are they so deadly?","container-title":"Current Opinion in Virology","page":"242-247","volume":"2","issue":"3","source":"Crossref","DOI":"10.1016/j.coviro.2012.03.006","ISSN":"18796257","shortTitle":"Hendra and Nipah viruses","language":"en","author":[{"family":"Marsh","given":"Glenn A"},{"family":"Wang","given":"Lin-Fa"}],"issued":{"date-parts":[["2012",6]]}}}],"schema":"https://github.com/citation-style-language/schema/raw/master/csl-citation.json"} </w:instrText>
      </w:r>
      <w:r w:rsidR="002F6302">
        <w:fldChar w:fldCharType="separate"/>
      </w:r>
      <w:r w:rsidR="002F6302" w:rsidRPr="002F6302">
        <w:rPr>
          <w:rFonts w:ascii="Calibri" w:hAnsi="Calibri" w:cs="Times New Roman"/>
          <w:szCs w:val="24"/>
          <w:vertAlign w:val="superscript"/>
        </w:rPr>
        <w:t>2</w:t>
      </w:r>
      <w:r w:rsidR="002F6302">
        <w:fldChar w:fldCharType="end"/>
      </w:r>
      <w:r>
        <w:t xml:space="preserve">. Il présente une pathogénicité très élevée chez les espèces mammifères, à l’exception de la famille de chauves-souris </w:t>
      </w:r>
      <w:proofErr w:type="spellStart"/>
      <w:r>
        <w:t>Pteropus</w:t>
      </w:r>
      <w:proofErr w:type="spellEnd"/>
      <w:r>
        <w:t xml:space="preserve">. En dépit d’être les hôtes de nombreux virus hautement pathogènes, dont le </w:t>
      </w:r>
      <w:proofErr w:type="spellStart"/>
      <w:r>
        <w:t>NiV</w:t>
      </w:r>
      <w:proofErr w:type="spellEnd"/>
      <w:r>
        <w:t xml:space="preserve">, les membres de cette famille ne présente pas de symptômes cliniques d’infection (citation). Ce travail cherche à mettre en évidence des interactions moléculaires entre des individus du genre </w:t>
      </w:r>
      <w:proofErr w:type="spellStart"/>
      <w:r>
        <w:t>Pteropus</w:t>
      </w:r>
      <w:proofErr w:type="spellEnd"/>
      <w:r>
        <w:t xml:space="preserve"> et le virus </w:t>
      </w:r>
      <w:proofErr w:type="spellStart"/>
      <w:r>
        <w:t>NiV</w:t>
      </w:r>
      <w:proofErr w:type="spellEnd"/>
      <w:r>
        <w:t xml:space="preserve">, qui pourraient aider à une meilleure compréhension concernant l’absence de pathogénicité chez </w:t>
      </w:r>
      <w:proofErr w:type="spellStart"/>
      <w:r>
        <w:t>Pteropus</w:t>
      </w:r>
      <w:proofErr w:type="spellEnd"/>
      <w:r>
        <w:t xml:space="preserve">. Pour cela, l’étude se concentre sur l’espèce </w:t>
      </w:r>
      <w:proofErr w:type="spellStart"/>
      <w:r w:rsidRPr="006077DE">
        <w:rPr>
          <w:i/>
        </w:rPr>
        <w:t>Pteropus</w:t>
      </w:r>
      <w:proofErr w:type="spellEnd"/>
      <w:r w:rsidRPr="006077DE">
        <w:rPr>
          <w:i/>
        </w:rPr>
        <w:t xml:space="preserve"> </w:t>
      </w:r>
      <w:proofErr w:type="spellStart"/>
      <w:r w:rsidRPr="006077DE">
        <w:rPr>
          <w:i/>
        </w:rPr>
        <w:t>giganteus</w:t>
      </w:r>
      <w:proofErr w:type="spellEnd"/>
      <w:r>
        <w:t xml:space="preserve">, largement répandue en Inde et au Bangladesh où des foyers d’infection du </w:t>
      </w:r>
      <w:proofErr w:type="spellStart"/>
      <w:r>
        <w:t>NiV</w:t>
      </w:r>
      <w:proofErr w:type="spellEnd"/>
      <w:r>
        <w:t xml:space="preserve"> </w:t>
      </w:r>
      <w:r>
        <w:lastRenderedPageBreak/>
        <w:t xml:space="preserve">sont présents. Son génome n’étant pour le moment pas connu, il faut d’abord le séquencer </w:t>
      </w:r>
      <w:r>
        <w:rPr>
          <w:i/>
        </w:rPr>
        <w:t>de novo</w:t>
      </w:r>
      <w:r>
        <w:t xml:space="preserve">. La procédure expérimentale est décrite plus bas. </w:t>
      </w:r>
    </w:p>
    <w:p w14:paraId="0C30A788" w14:textId="77777777" w:rsidR="00FE7CA7" w:rsidRDefault="00FE7CA7" w:rsidP="00FE7CA7"/>
    <w:p w14:paraId="4197D28A" w14:textId="77777777" w:rsidR="00FE7CA7" w:rsidRDefault="00FE7CA7" w:rsidP="00FE7CA7">
      <w:pPr>
        <w:pStyle w:val="Titre1"/>
      </w:pPr>
      <w:bookmarkStart w:id="1" w:name="_Toc512854512"/>
      <w:r>
        <w:t>Matériels et Méthodes</w:t>
      </w:r>
      <w:bookmarkEnd w:id="1"/>
    </w:p>
    <w:p w14:paraId="7874D291" w14:textId="77777777" w:rsidR="00E54758" w:rsidRDefault="00E54758" w:rsidP="00E54758"/>
    <w:p w14:paraId="34BF0E18" w14:textId="77777777" w:rsidR="00E54758" w:rsidRDefault="00E54758" w:rsidP="00E54758">
      <w:pPr>
        <w:pStyle w:val="Titre2"/>
      </w:pPr>
      <w:bookmarkStart w:id="2" w:name="_Toc512854513"/>
      <w:r>
        <w:t>Obtention de l’échantillon</w:t>
      </w:r>
      <w:bookmarkEnd w:id="2"/>
    </w:p>
    <w:p w14:paraId="208C8DA8" w14:textId="77777777" w:rsidR="00AD2D2A" w:rsidRDefault="00AD2D2A" w:rsidP="00AD2D2A">
      <w:r>
        <w:rPr>
          <w:u w:val="single"/>
        </w:rPr>
        <w:t>Qualité</w:t>
      </w:r>
      <w:r>
        <w:t> :</w:t>
      </w:r>
    </w:p>
    <w:p w14:paraId="4B231ED4" w14:textId="77777777" w:rsidR="00AD2D2A" w:rsidRDefault="00AD2D2A" w:rsidP="00AD2D2A">
      <w:r>
        <w:t>Un ratio d’absorbance a d’abord été utilisé pour déterminer la pureté de l’ADN. Un ADN pur est caractérisé par un ratio 260/280 de 1,8 et 260/230 entre 1,8 et 2,2.</w:t>
      </w:r>
    </w:p>
    <w:p w14:paraId="1D6278B8" w14:textId="77777777" w:rsidR="00AD2D2A" w:rsidRDefault="00AD2D2A" w:rsidP="00AD2D2A">
      <w:r>
        <w:t>L’intégrité de l’échantillon a ensuite été déterminée par une électrophorèse sur gel d’agarose à 1%. Si les fragments d’ADN sont trop petits, cela indique une probable dégradation en cours au moment de la préparation de l’échantillon, ce qui peut biaiser les données.</w:t>
      </w:r>
    </w:p>
    <w:p w14:paraId="65BDEC2E" w14:textId="77777777" w:rsidR="00AD2D2A" w:rsidRDefault="00AD2D2A" w:rsidP="00AD2D2A">
      <w:r>
        <w:rPr>
          <w:u w:val="single"/>
        </w:rPr>
        <w:t>Quantité</w:t>
      </w:r>
      <w:r>
        <w:t> :</w:t>
      </w:r>
    </w:p>
    <w:p w14:paraId="421A8989" w14:textId="77777777" w:rsidR="00AD2D2A" w:rsidRDefault="00AD2D2A" w:rsidP="00AD2D2A">
      <w:r>
        <w:t xml:space="preserve">Le kit utilisé (voir plus bas) nécessite une quantité minimum d’échantillon de 3µg. La quantification s’est effectuée avec l’appareil </w:t>
      </w:r>
      <w:proofErr w:type="spellStart"/>
      <w:r>
        <w:t>QuantiFluor</w:t>
      </w:r>
      <w:proofErr w:type="spellEnd"/>
      <w:r>
        <w:t xml:space="preserve"> </w:t>
      </w:r>
      <w:proofErr w:type="spellStart"/>
      <w:r>
        <w:t>dsDNA</w:t>
      </w:r>
      <w:proofErr w:type="spellEnd"/>
      <w:r>
        <w:t xml:space="preserve"> System (société </w:t>
      </w:r>
      <w:proofErr w:type="spellStart"/>
      <w:r>
        <w:t>Promega</w:t>
      </w:r>
      <w:proofErr w:type="spellEnd"/>
      <w:r>
        <w:t>), qui utilise un agent fluorescent qui se lie avec l’ADN.</w:t>
      </w:r>
    </w:p>
    <w:p w14:paraId="0F1B2B08" w14:textId="77777777" w:rsidR="00AD2D2A" w:rsidRPr="00AD2D2A" w:rsidRDefault="00AD2D2A" w:rsidP="00AD2D2A"/>
    <w:p w14:paraId="204E98B7" w14:textId="77777777" w:rsidR="00FE7CA7" w:rsidRDefault="00FE7CA7" w:rsidP="00FE7CA7"/>
    <w:p w14:paraId="024570E9" w14:textId="77777777" w:rsidR="00FE7CA7" w:rsidRDefault="00E54758" w:rsidP="00FE7CA7">
      <w:pPr>
        <w:pStyle w:val="Titre2"/>
      </w:pPr>
      <w:bookmarkStart w:id="3" w:name="_Toc512854514"/>
      <w:r>
        <w:t>Acquisition</w:t>
      </w:r>
      <w:r w:rsidR="00FE7CA7">
        <w:t xml:space="preserve"> des données Illumina</w:t>
      </w:r>
      <w:bookmarkEnd w:id="3"/>
    </w:p>
    <w:p w14:paraId="3D09589C" w14:textId="77777777" w:rsidR="00FE7CA7" w:rsidRDefault="00FE7CA7" w:rsidP="00FE7CA7"/>
    <w:p w14:paraId="2A993AD5" w14:textId="77777777" w:rsidR="00FE7CA7" w:rsidRDefault="00FE7CA7" w:rsidP="00FE7CA7">
      <w:pPr>
        <w:pStyle w:val="Titre3"/>
      </w:pPr>
      <w:bookmarkStart w:id="4" w:name="_Toc512854515"/>
      <w:r>
        <w:t>Préparation de la banque</w:t>
      </w:r>
      <w:bookmarkEnd w:id="4"/>
    </w:p>
    <w:p w14:paraId="5372C5E9" w14:textId="77777777" w:rsidR="00AD2D2A" w:rsidRPr="0004370F" w:rsidRDefault="00AD2D2A" w:rsidP="00AD2D2A">
      <w:r>
        <w:t xml:space="preserve">La construction d’une banque s’est faite avec le kit </w:t>
      </w:r>
      <w:proofErr w:type="spellStart"/>
      <w:r>
        <w:t>NEXTflex</w:t>
      </w:r>
      <w:proofErr w:type="spellEnd"/>
      <w:r>
        <w:t xml:space="preserve"> PCR-Free DNA Library </w:t>
      </w:r>
      <w:proofErr w:type="spellStart"/>
      <w:r>
        <w:t>Prep</w:t>
      </w:r>
      <w:proofErr w:type="spellEnd"/>
      <w:r>
        <w:t xml:space="preserve">, qui est adapté au séquençage sur Illumina (Figure 1). L’ADN est d’abord </w:t>
      </w:r>
      <w:commentRangeStart w:id="5"/>
      <w:r>
        <w:t>fragmenté</w:t>
      </w:r>
      <w:commentRangeEnd w:id="5"/>
      <w:r>
        <w:rPr>
          <w:rStyle w:val="Marquedecommentaire"/>
        </w:rPr>
        <w:commentReference w:id="5"/>
      </w:r>
      <w:r>
        <w:t xml:space="preserve"> en petits morceaux, puis une étape de nettoyage garde les brins d’ADN d’une longueur entre 300 et 400 </w:t>
      </w:r>
      <w:proofErr w:type="spellStart"/>
      <w:r>
        <w:t>pb</w:t>
      </w:r>
      <w:proofErr w:type="spellEnd"/>
      <w:r>
        <w:t xml:space="preserve"> approximativement (400-500 après fixation de l’adaptateur). Les extrémités sont ensuite réparées, et un adaptateur et un index (permettant d’identifier l’échantillon par la suite) viennent se fixer de chaque côté des brins. </w:t>
      </w:r>
    </w:p>
    <w:p w14:paraId="751F4EE3" w14:textId="77777777" w:rsidR="00AD2D2A" w:rsidRPr="00AC69A8" w:rsidRDefault="00AD2D2A" w:rsidP="00AD2D2A">
      <w:r>
        <w:t xml:space="preserve">Le </w:t>
      </w:r>
      <w:proofErr w:type="spellStart"/>
      <w:r>
        <w:t>Bioanalyzer</w:t>
      </w:r>
      <w:proofErr w:type="spellEnd"/>
      <w:r>
        <w:t xml:space="preserve"> (société </w:t>
      </w:r>
      <w:proofErr w:type="spellStart"/>
      <w:r>
        <w:t>Agilent</w:t>
      </w:r>
      <w:proofErr w:type="spellEnd"/>
      <w:r>
        <w:t xml:space="preserve">), fonctionnant sur le principe d’une électrophorèse capillaire, a été utilisé pour contrôler la qualité de la banque. Une banque est de bonne qualité si la courbe représentant la densité de la taille des fragments d’ADN est une gaussienne avec un seul pic bien distinct autour de 450pb. Un résultat qui s’éloigne de la gaussienne signifie que la fragmentation ne s’est pas faîte aléatoirement, et pourrait présenter un biais. </w:t>
      </w:r>
    </w:p>
    <w:p w14:paraId="4D225319" w14:textId="77777777" w:rsidR="00AD2D2A" w:rsidRPr="00AD2D2A" w:rsidRDefault="00AD2D2A" w:rsidP="00AD2D2A"/>
    <w:p w14:paraId="38DAD101" w14:textId="77777777" w:rsidR="00FE7CA7" w:rsidRDefault="00FE7CA7" w:rsidP="00FE7CA7">
      <w:pPr>
        <w:pStyle w:val="Titre3"/>
      </w:pPr>
      <w:bookmarkStart w:id="6" w:name="_Toc512854516"/>
      <w:r>
        <w:t>Séquençage</w:t>
      </w:r>
      <w:bookmarkEnd w:id="6"/>
    </w:p>
    <w:p w14:paraId="3D90F4EC" w14:textId="77777777" w:rsidR="00AD2D2A" w:rsidRDefault="00AD2D2A" w:rsidP="00AD2D2A">
      <w:pPr>
        <w:rPr>
          <w:noProof/>
          <w:lang w:eastAsia="fr-FR"/>
        </w:rPr>
      </w:pPr>
      <w:r>
        <w:t xml:space="preserve">Le séquençage s’est effectué sur un appareil Illumina </w:t>
      </w:r>
      <w:proofErr w:type="spellStart"/>
      <w:r w:rsidRPr="002B6496">
        <w:t>Nextseq</w:t>
      </w:r>
      <w:proofErr w:type="spellEnd"/>
      <w:r w:rsidRPr="002B6496">
        <w:t xml:space="preserve"> 500</w:t>
      </w:r>
      <w:r>
        <w:t xml:space="preserve"> utilisant une </w:t>
      </w:r>
      <w:r w:rsidRPr="002B6496">
        <w:t xml:space="preserve">Flow </w:t>
      </w:r>
      <w:proofErr w:type="spellStart"/>
      <w:r w:rsidRPr="002B6496">
        <w:t>cell</w:t>
      </w:r>
      <w:proofErr w:type="spellEnd"/>
      <w:r>
        <w:t xml:space="preserve"> à high output, et une lecture des fragments </w:t>
      </w:r>
      <w:r w:rsidRPr="002B6496">
        <w:t>2 x 150 Nt</w:t>
      </w:r>
      <w:r>
        <w:t xml:space="preserve"> (</w:t>
      </w:r>
      <w:proofErr w:type="spellStart"/>
      <w:r>
        <w:t>paired</w:t>
      </w:r>
      <w:proofErr w:type="spellEnd"/>
      <w:r>
        <w:t xml:space="preserve">-end). Les fragments sont lus en </w:t>
      </w:r>
      <w:proofErr w:type="spellStart"/>
      <w:r>
        <w:t>paired</w:t>
      </w:r>
      <w:proofErr w:type="spellEnd"/>
      <w:r>
        <w:t xml:space="preserve">-end, sur une longueur de nucléotides choisie (75, 150, etc…). Selon la taille des fragments et les applications concernées, la longueur des </w:t>
      </w:r>
      <w:proofErr w:type="spellStart"/>
      <w:r>
        <w:t>reads</w:t>
      </w:r>
      <w:proofErr w:type="spellEnd"/>
      <w:r>
        <w:t xml:space="preserve"> à choisir est importante car elle permet d’obtenir </w:t>
      </w:r>
      <w:r>
        <w:lastRenderedPageBreak/>
        <w:t>l’information souhaitée (Figure 1).</w:t>
      </w:r>
      <w:r w:rsidRPr="00AC69A8">
        <w:rPr>
          <w:noProof/>
          <w:lang w:eastAsia="fr-FR"/>
        </w:rPr>
        <w:t xml:space="preserve"> </w:t>
      </w:r>
      <w:r>
        <w:rPr>
          <w:noProof/>
          <w:lang w:eastAsia="fr-FR"/>
        </w:rPr>
        <w:t xml:space="preserve"> Les fichiers de sortie du séquençage sont au format .bcl et contiennent les bases et leur score de qualité, stockés en format binaire.</w:t>
      </w:r>
    </w:p>
    <w:p w14:paraId="7D10C83D" w14:textId="77777777" w:rsidR="00AD2D2A" w:rsidRDefault="00AD2D2A" w:rsidP="00AD2D2A">
      <w:r>
        <w:t xml:space="preserve">Pour le type de flow </w:t>
      </w:r>
      <w:proofErr w:type="spellStart"/>
      <w:r>
        <w:t>cell</w:t>
      </w:r>
      <w:proofErr w:type="spellEnd"/>
      <w:r>
        <w:t xml:space="preserve"> utilisé, les spécifications du fournisseur sont les suivantes :</w:t>
      </w:r>
    </w:p>
    <w:p w14:paraId="07DEC972" w14:textId="77777777" w:rsidR="00AD2D2A" w:rsidRDefault="00AD2D2A" w:rsidP="00AD2D2A">
      <w:pPr>
        <w:pStyle w:val="Paragraphedeliste"/>
        <w:numPr>
          <w:ilvl w:val="0"/>
          <w:numId w:val="5"/>
        </w:numPr>
      </w:pPr>
      <w:r>
        <w:t xml:space="preserve">Le nombre de clusters analysés doit être d’environ 400 millions (x2 en </w:t>
      </w:r>
      <w:proofErr w:type="spellStart"/>
      <w:r>
        <w:t>paired</w:t>
      </w:r>
      <w:proofErr w:type="spellEnd"/>
      <w:r>
        <w:t>-end).</w:t>
      </w:r>
    </w:p>
    <w:p w14:paraId="08E2C281" w14:textId="77777777" w:rsidR="00AD2D2A" w:rsidRDefault="00AD2D2A" w:rsidP="00AD2D2A">
      <w:pPr>
        <w:pStyle w:val="Paragraphedeliste"/>
        <w:numPr>
          <w:ilvl w:val="0"/>
          <w:numId w:val="5"/>
        </w:numPr>
      </w:pPr>
      <w:r>
        <w:t xml:space="preserve">Le taux d’erreurs doit être inférieur à 2% en moyenne pour chaque </w:t>
      </w:r>
      <w:proofErr w:type="spellStart"/>
      <w:r>
        <w:t>read</w:t>
      </w:r>
      <w:proofErr w:type="spellEnd"/>
    </w:p>
    <w:p w14:paraId="7E4C8927" w14:textId="77777777" w:rsidR="00AD2D2A" w:rsidRDefault="00AD2D2A" w:rsidP="00AD2D2A">
      <w:pPr>
        <w:pStyle w:val="Paragraphedeliste"/>
        <w:numPr>
          <w:ilvl w:val="0"/>
          <w:numId w:val="5"/>
        </w:numPr>
      </w:pPr>
      <w:r>
        <w:t xml:space="preserve">La quantité de </w:t>
      </w:r>
      <w:proofErr w:type="spellStart"/>
      <w:r>
        <w:t>reads</w:t>
      </w:r>
      <w:proofErr w:type="spellEnd"/>
      <w:r>
        <w:t xml:space="preserve"> obtenus doit être supérieure à 130 millions.</w:t>
      </w:r>
    </w:p>
    <w:p w14:paraId="5936A982" w14:textId="77777777" w:rsidR="00AD2D2A" w:rsidRPr="00AD2D2A" w:rsidRDefault="00AD2D2A" w:rsidP="00AD2D2A"/>
    <w:p w14:paraId="2111C24F" w14:textId="77777777" w:rsidR="00FE7CA7" w:rsidRDefault="00FE7CA7" w:rsidP="00FE7CA7">
      <w:pPr>
        <w:pStyle w:val="Titre3"/>
      </w:pPr>
      <w:bookmarkStart w:id="7" w:name="_Toc512854517"/>
      <w:r>
        <w:t xml:space="preserve">Démultiplexage et </w:t>
      </w:r>
      <w:proofErr w:type="spellStart"/>
      <w:r>
        <w:t>trimming</w:t>
      </w:r>
      <w:proofErr w:type="spellEnd"/>
      <w:r w:rsidR="00E54758">
        <w:t xml:space="preserve"> des </w:t>
      </w:r>
      <w:proofErr w:type="spellStart"/>
      <w:r w:rsidR="00E54758">
        <w:t>reads</w:t>
      </w:r>
      <w:bookmarkEnd w:id="7"/>
      <w:proofErr w:type="spellEnd"/>
    </w:p>
    <w:p w14:paraId="4158219F" w14:textId="77777777" w:rsidR="00AD2D2A" w:rsidRDefault="00AD2D2A" w:rsidP="00AD2D2A">
      <w:r>
        <w:t xml:space="preserve">Le démultiplexage consiste à transformer les fichiers BCL issus du séquençage en fichiers FASTQ, qui sont des fichiers textes contenant des séquences nucléotidiques (dans notre cas) et leur score de qualité associé. Lorsque plusieurs échantillons sont séquencés en même temps, il faut aussi lors de cette étape associer chaque </w:t>
      </w:r>
      <w:proofErr w:type="spellStart"/>
      <w:r>
        <w:t>read</w:t>
      </w:r>
      <w:proofErr w:type="spellEnd"/>
      <w:r>
        <w:t xml:space="preserve"> au bon échantillon. Dans ce but, un index spécifique à l’échantillon, généralement de 6pb, est rajouté aux fragments. Lors du démultiplexage, un seuil de </w:t>
      </w:r>
      <w:proofErr w:type="spellStart"/>
      <w:r>
        <w:t>misalignement</w:t>
      </w:r>
      <w:proofErr w:type="spellEnd"/>
      <w:r>
        <w:t xml:space="preserve"> est spécifié au niveau de l’index, qui peut être 0 (pas d’erreur acceptée lors de la lecture de l’index) ou 1 (une erreur acceptée). Par exemple, si pour un échantillon E l’index est ACTAGT, et le seuil spécifié est 1, la lecture d’un index ACTCGT sera bien attribué à l’échantillon E. Il est important de vérifier que la proportion du nombre de </w:t>
      </w:r>
      <w:proofErr w:type="spellStart"/>
      <w:r>
        <w:t>read</w:t>
      </w:r>
      <w:proofErr w:type="spellEnd"/>
      <w:r>
        <w:t xml:space="preserve"> associé à chaque échantillon est similaire aux proportions de départ (par exemple, une proportion de 50/50 est attendue dans le cas où deux échantillons ont été séquencés). Le logiciel utilisé pour le démultiplexage est bcl2fastq (</w:t>
      </w:r>
      <w:r w:rsidRPr="00F26111">
        <w:t>v2.17.1.14</w:t>
      </w:r>
      <w:r>
        <w:t>).</w:t>
      </w:r>
    </w:p>
    <w:p w14:paraId="6D0EB131" w14:textId="611B63D0" w:rsidR="00AD2D2A" w:rsidRDefault="00AD2D2A" w:rsidP="00AD2D2A">
      <w:r>
        <w:t>Ce contrôle s’effe</w:t>
      </w:r>
      <w:r w:rsidR="002F6302">
        <w:t xml:space="preserve">ctue avec le logiciel </w:t>
      </w:r>
      <w:proofErr w:type="spellStart"/>
      <w:r w:rsidR="002F6302">
        <w:t>FastQC</w:t>
      </w:r>
      <w:proofErr w:type="spellEnd"/>
      <w:r w:rsidR="002F6302">
        <w:t xml:space="preserve"> </w:t>
      </w:r>
      <w:r w:rsidR="002F6302">
        <w:fldChar w:fldCharType="begin"/>
      </w:r>
      <w:r w:rsidR="002F6302">
        <w:instrText xml:space="preserve"> ADDIN ZOTERO_ITEM CSL_CITATION {"citationID":"ZUOhh6Aq","properties":{"formattedCitation":"\\super 3\\nosupersub{}","plainCitation":"3","noteIndex":0},"citationItems":[{"id":17,"uris":["http://zotero.org/users/4907092/items/X33ZFUQ5"],"uri":["http://zotero.org/users/4907092/items/X33ZFUQ5"],"itemData":{"id":17,"type":"webpage","title":"Babraham Bioinformatics - FastQC A Quality Control tool for High Throughput Sequence Data","URL":"https://www.bioinformatics.babraham.ac.uk/projects/fastqc/","author":[{"family":"Andrews","given":"Simon"}],"accessed":{"date-parts":[["2018",4,30]]}}}],"schema":"https://github.com/citation-style-language/schema/raw/master/csl-citation.json"} </w:instrText>
      </w:r>
      <w:r w:rsidR="002F6302">
        <w:fldChar w:fldCharType="separate"/>
      </w:r>
      <w:r w:rsidR="002F6302" w:rsidRPr="002F6302">
        <w:rPr>
          <w:rFonts w:ascii="Calibri" w:hAnsi="Calibri" w:cs="Times New Roman"/>
          <w:szCs w:val="24"/>
          <w:vertAlign w:val="superscript"/>
        </w:rPr>
        <w:t>3</w:t>
      </w:r>
      <w:r w:rsidR="002F6302">
        <w:fldChar w:fldCharType="end"/>
      </w:r>
      <w:r>
        <w:t xml:space="preserve">. </w:t>
      </w:r>
      <w:proofErr w:type="spellStart"/>
      <w:r>
        <w:t>FastQC</w:t>
      </w:r>
      <w:proofErr w:type="spellEnd"/>
      <w:r>
        <w:t xml:space="preserve"> analyse l’ensemble des </w:t>
      </w:r>
      <w:proofErr w:type="spellStart"/>
      <w:r>
        <w:t>reads</w:t>
      </w:r>
      <w:proofErr w:type="spellEnd"/>
      <w:r>
        <w:t xml:space="preserve"> pour en tirer des statistiques permettant d’estimer la qualité des </w:t>
      </w:r>
      <w:proofErr w:type="spellStart"/>
      <w:r>
        <w:t>reads</w:t>
      </w:r>
      <w:proofErr w:type="spellEnd"/>
      <w:r>
        <w:t>. Les résultats sont présentés sous la forme de graphiques au format html.</w:t>
      </w:r>
    </w:p>
    <w:p w14:paraId="67B09C3C" w14:textId="7E323725" w:rsidR="00AD2D2A" w:rsidRDefault="00AD2D2A" w:rsidP="00AD2D2A">
      <w:r>
        <w:t xml:space="preserve">Le </w:t>
      </w:r>
      <w:proofErr w:type="spellStart"/>
      <w:r>
        <w:t>trimming</w:t>
      </w:r>
      <w:proofErr w:type="spellEnd"/>
      <w:r>
        <w:t xml:space="preserve"> consiste à éliminer les </w:t>
      </w:r>
      <w:proofErr w:type="spellStart"/>
      <w:r>
        <w:t>reads</w:t>
      </w:r>
      <w:proofErr w:type="spellEnd"/>
      <w:r>
        <w:t xml:space="preserve"> ou parties de </w:t>
      </w:r>
      <w:proofErr w:type="spellStart"/>
      <w:r>
        <w:t>reads</w:t>
      </w:r>
      <w:proofErr w:type="spellEnd"/>
      <w:r>
        <w:t xml:space="preserve"> de mauvaise qualité. Généralement, au fur et à mesure de la lecture d’un </w:t>
      </w:r>
      <w:proofErr w:type="spellStart"/>
      <w:r>
        <w:t>read</w:t>
      </w:r>
      <w:proofErr w:type="spellEnd"/>
      <w:r>
        <w:t xml:space="preserve">, la précision diminue, et donc le score de qualité du </w:t>
      </w:r>
      <w:proofErr w:type="spellStart"/>
      <w:r>
        <w:t>read</w:t>
      </w:r>
      <w:proofErr w:type="spellEnd"/>
      <w:r>
        <w:t xml:space="preserve">. C’est pourquoi il est préférable de couper la fin des </w:t>
      </w:r>
      <w:proofErr w:type="spellStart"/>
      <w:r>
        <w:t>reads</w:t>
      </w:r>
      <w:proofErr w:type="spellEnd"/>
      <w:r>
        <w:t xml:space="preserve">, afin d’obtenir des </w:t>
      </w:r>
      <w:proofErr w:type="spellStart"/>
      <w:r>
        <w:t>reads</w:t>
      </w:r>
      <w:proofErr w:type="spellEnd"/>
      <w:r>
        <w:t xml:space="preserve"> d’une longueur désirée approprié à l’étude et de bonne qualité. Les </w:t>
      </w:r>
      <w:proofErr w:type="spellStart"/>
      <w:r>
        <w:t>reads</w:t>
      </w:r>
      <w:proofErr w:type="spellEnd"/>
      <w:r>
        <w:t xml:space="preserve"> présentant également un score de qualité trop bas sont éliminés. Le logiciel </w:t>
      </w:r>
      <w:proofErr w:type="spellStart"/>
      <w:r>
        <w:t>Cutada</w:t>
      </w:r>
      <w:r w:rsidR="002F6302">
        <w:t>pt</w:t>
      </w:r>
      <w:proofErr w:type="spellEnd"/>
      <w:r w:rsidR="002F6302">
        <w:t xml:space="preserve"> (v1.3) </w:t>
      </w:r>
      <w:r w:rsidR="002F6302">
        <w:fldChar w:fldCharType="begin"/>
      </w:r>
      <w:r w:rsidR="002F6302">
        <w:instrText xml:space="preserve"> ADDIN ZOTERO_ITEM CSL_CITATION {"citationID":"ZVA70Zpr","properties":{"formattedCitation":"\\super 4\\nosupersub{}","plainCitation":"4","noteIndex":0},"citationItems":[{"id":19,"uris":["http://zotero.org/users/4907092/items/4WENWUF8"],"uri":["http://zotero.org/users/4907092/items/4WENWUF8"],"itemData":{"id":19,"type":"article-journal","title":"Cutadapt removes adapter sequences from high-throughput sequencing reads","container-title":"EMBnet.journal","page":"10","volume":"17","issue":"1","source":"Crossref","DOI":"10.14806/ej.17.1.200","ISSN":"2226-6089","author":[{"family":"Martin","given":"Marcel"}],"issued":{"date-parts":[["2011",5,2]]}}}],"schema":"https://github.com/citation-style-language/schema/raw/master/csl-citation.json"} </w:instrText>
      </w:r>
      <w:r w:rsidR="002F6302">
        <w:fldChar w:fldCharType="separate"/>
      </w:r>
      <w:r w:rsidR="002F6302" w:rsidRPr="002F6302">
        <w:rPr>
          <w:rFonts w:ascii="Calibri" w:hAnsi="Calibri" w:cs="Times New Roman"/>
          <w:szCs w:val="24"/>
          <w:vertAlign w:val="superscript"/>
        </w:rPr>
        <w:t>4</w:t>
      </w:r>
      <w:r w:rsidR="002F6302">
        <w:fldChar w:fldCharType="end"/>
      </w:r>
      <w:r>
        <w:t xml:space="preserve"> a ici été utilisé pour le </w:t>
      </w:r>
      <w:proofErr w:type="spellStart"/>
      <w:r>
        <w:t>trimming</w:t>
      </w:r>
      <w:proofErr w:type="spellEnd"/>
      <w:r>
        <w:t>.</w:t>
      </w:r>
    </w:p>
    <w:p w14:paraId="7D669850" w14:textId="77777777" w:rsidR="00AD2D2A" w:rsidRDefault="00AD2D2A" w:rsidP="00AD2D2A">
      <w:r>
        <w:t xml:space="preserve">Un nouveau contrôle est effectué avec </w:t>
      </w:r>
      <w:proofErr w:type="spellStart"/>
      <w:r>
        <w:t>FastQC</w:t>
      </w:r>
      <w:proofErr w:type="spellEnd"/>
      <w:r>
        <w:t xml:space="preserve"> pour s’assurer que, si ce n’était pas le cas après le démultiplexage, les </w:t>
      </w:r>
      <w:proofErr w:type="spellStart"/>
      <w:r>
        <w:t>reads</w:t>
      </w:r>
      <w:proofErr w:type="spellEnd"/>
      <w:r>
        <w:t xml:space="preserve"> ont cette fois-ci une qualité suffisante pour les analyses ultérieures.</w:t>
      </w:r>
    </w:p>
    <w:p w14:paraId="63EE3231" w14:textId="5DE5D965" w:rsidR="00AD2D2A" w:rsidRDefault="00AD2D2A" w:rsidP="00AD2D2A">
      <w:r>
        <w:t xml:space="preserve">Un autre </w:t>
      </w:r>
      <w:r w:rsidR="002F6302">
        <w:t xml:space="preserve">logiciel, </w:t>
      </w:r>
      <w:proofErr w:type="spellStart"/>
      <w:r w:rsidR="002F6302">
        <w:t>FastQ</w:t>
      </w:r>
      <w:proofErr w:type="spellEnd"/>
      <w:r w:rsidR="002F6302">
        <w:t xml:space="preserve"> </w:t>
      </w:r>
      <w:proofErr w:type="spellStart"/>
      <w:r w:rsidR="002F6302">
        <w:t>Screen</w:t>
      </w:r>
      <w:proofErr w:type="spellEnd"/>
      <w:r w:rsidR="002F6302">
        <w:t xml:space="preserve"> </w:t>
      </w:r>
      <w:r w:rsidR="002F6302">
        <w:fldChar w:fldCharType="begin"/>
      </w:r>
      <w:r w:rsidR="002F6302">
        <w:instrText xml:space="preserve"> ADDIN ZOTERO_ITEM CSL_CITATION {"citationID":"cNuqJS4U","properties":{"formattedCitation":"\\super 5\\nosupersub{}","plainCitation":"5","noteIndex":0},"citationItems":[{"id":20,"uris":["http://zotero.org/users/4907092/items/T3RQ745Y"],"uri":["http://zotero.org/users/4907092/items/T3RQ745Y"],"itemData":{"id":20,"type":"webpage","title":"Babraham Bioinformatics - FastQ Screen","URL":"https://www.bioinformatics.babraham.ac.uk/projects/fastq_screen/","author":[{"family":"Wingett","given":"Steven"}],"accessed":{"date-parts":[["2018",4,30]]}}}],"schema":"https://github.com/citation-style-language/schema/raw/master/csl-citation.json"} </w:instrText>
      </w:r>
      <w:r w:rsidR="002F6302">
        <w:fldChar w:fldCharType="separate"/>
      </w:r>
      <w:r w:rsidR="002F6302" w:rsidRPr="002F6302">
        <w:rPr>
          <w:rFonts w:ascii="Calibri" w:hAnsi="Calibri" w:cs="Times New Roman"/>
          <w:szCs w:val="24"/>
          <w:vertAlign w:val="superscript"/>
        </w:rPr>
        <w:t>5</w:t>
      </w:r>
      <w:r w:rsidR="002F6302">
        <w:fldChar w:fldCharType="end"/>
      </w:r>
      <w:r>
        <w:t xml:space="preserve">, est utilisé pour vérifier la pureté des échantillons concernant la contamination. </w:t>
      </w:r>
      <w:proofErr w:type="spellStart"/>
      <w:r>
        <w:t>FastQ</w:t>
      </w:r>
      <w:proofErr w:type="spellEnd"/>
      <w:r>
        <w:t xml:space="preserve"> </w:t>
      </w:r>
      <w:proofErr w:type="spellStart"/>
      <w:r>
        <w:t>Screen</w:t>
      </w:r>
      <w:proofErr w:type="spellEnd"/>
      <w:r>
        <w:t xml:space="preserve"> fait appel à un outil d’alignement externe. Ici bowtie2 a été utilisé pour ce contrôle. </w:t>
      </w:r>
      <w:proofErr w:type="spellStart"/>
      <w:r>
        <w:t>FastQ</w:t>
      </w:r>
      <w:proofErr w:type="spellEnd"/>
      <w:r>
        <w:t xml:space="preserve"> </w:t>
      </w:r>
      <w:proofErr w:type="spellStart"/>
      <w:r>
        <w:t>Screen</w:t>
      </w:r>
      <w:proofErr w:type="spellEnd"/>
      <w:r>
        <w:t xml:space="preserve"> prend un échantillon de </w:t>
      </w:r>
      <w:proofErr w:type="spellStart"/>
      <w:r>
        <w:t>reads</w:t>
      </w:r>
      <w:proofErr w:type="spellEnd"/>
      <w:r>
        <w:t xml:space="preserve"> (généralement 100 000) et aligne ces </w:t>
      </w:r>
      <w:proofErr w:type="spellStart"/>
      <w:r>
        <w:t>reads</w:t>
      </w:r>
      <w:proofErr w:type="spellEnd"/>
      <w:r>
        <w:t xml:space="preserve"> grâce à bowtie2 contre des génomes et des ensembles de génomes. Ici, l’échantillon a été comparé aux génomes d’Homo sapiens, de la Souris, de la Levure, d’</w:t>
      </w:r>
      <w:proofErr w:type="spellStart"/>
      <w:r>
        <w:t>E.coli</w:t>
      </w:r>
      <w:proofErr w:type="spellEnd"/>
      <w:r>
        <w:t xml:space="preserve">, à deux génomes d’espèces proches (P. </w:t>
      </w:r>
      <w:proofErr w:type="spellStart"/>
      <w:r>
        <w:t>alecto</w:t>
      </w:r>
      <w:proofErr w:type="spellEnd"/>
      <w:r>
        <w:t xml:space="preserve"> et P. </w:t>
      </w:r>
      <w:proofErr w:type="spellStart"/>
      <w:r>
        <w:t>vampyrus</w:t>
      </w:r>
      <w:proofErr w:type="spellEnd"/>
      <w:r>
        <w:t>) ainsi qu’à des bases de données génomique pour les plasmides et vecteurs (</w:t>
      </w:r>
      <w:proofErr w:type="spellStart"/>
      <w:r>
        <w:t>UNIVec</w:t>
      </w:r>
      <w:proofErr w:type="spellEnd"/>
      <w:r>
        <w:t>), les virus et les bactéries.</w:t>
      </w:r>
    </w:p>
    <w:p w14:paraId="440868D4" w14:textId="77777777" w:rsidR="00AD2D2A" w:rsidRPr="00AD2D2A" w:rsidRDefault="00AD2D2A" w:rsidP="00AD2D2A"/>
    <w:p w14:paraId="11AA5D7E" w14:textId="77777777" w:rsidR="00FE7CA7" w:rsidRDefault="00E54758" w:rsidP="00FE7CA7">
      <w:pPr>
        <w:pStyle w:val="Titre3"/>
      </w:pPr>
      <w:bookmarkStart w:id="8" w:name="_Toc512854518"/>
      <w:r>
        <w:t xml:space="preserve">Étape de </w:t>
      </w:r>
      <w:proofErr w:type="spellStart"/>
      <w:r>
        <w:t>p</w:t>
      </w:r>
      <w:r w:rsidR="00FE7CA7">
        <w:t>réassemblage</w:t>
      </w:r>
      <w:bookmarkEnd w:id="8"/>
      <w:proofErr w:type="spellEnd"/>
    </w:p>
    <w:p w14:paraId="4FD16165" w14:textId="6A9D304A" w:rsidR="00AD2D2A" w:rsidRDefault="00AD2D2A" w:rsidP="00AD2D2A">
      <w:r>
        <w:t xml:space="preserve">La taille du génome ainsi que la taille idéale des </w:t>
      </w:r>
      <w:proofErr w:type="spellStart"/>
      <w:r>
        <w:t>k-mers</w:t>
      </w:r>
      <w:proofErr w:type="spellEnd"/>
      <w:r>
        <w:t xml:space="preserve"> ont été estimé</w:t>
      </w:r>
      <w:r w:rsidR="002F6302">
        <w:t xml:space="preserve">es par le logiciel </w:t>
      </w:r>
      <w:proofErr w:type="spellStart"/>
      <w:r w:rsidR="002F6302">
        <w:t>KmerGenie</w:t>
      </w:r>
      <w:proofErr w:type="spellEnd"/>
      <w:r w:rsidR="002F6302">
        <w:t xml:space="preserve"> </w:t>
      </w:r>
      <w:r w:rsidR="002F6302">
        <w:fldChar w:fldCharType="begin"/>
      </w:r>
      <w:r w:rsidR="002F6302">
        <w:instrText xml:space="preserve"> ADDIN ZOTERO_ITEM CSL_CITATION {"citationID":"WPqoJmsC","properties":{"formattedCitation":"\\super 6\\nosupersub{}","plainCitation":"6","noteIndex":0},"citationItems":[{"id":22,"uris":["http://zotero.org/users/4907092/items/RX8LDATU"],"uri":["http://zotero.org/users/4907092/items/RX8LDATU"],"itemData":{"id":22,"type":"article-journal","title":"Informed and automated k-mer size selection for genome assembly","container-title":"Bioinformatics","page":"31-37","volume":"30","issue":"1","source":"Crossref","DOI":"10.1093/bioinformatics/btt310","ISSN":"1367-4803, 1460-2059","language":"en","author":[{"family":"Chikhi","given":"R."},{"family":"Medvedev","given":"P."}],"issued":{"date-parts":[["2014",1,1]]}}}],"schema":"https://github.com/citation-style-language/schema/raw/master/csl-citation.json"} </w:instrText>
      </w:r>
      <w:r w:rsidR="002F6302">
        <w:fldChar w:fldCharType="separate"/>
      </w:r>
      <w:r w:rsidR="002F6302" w:rsidRPr="002F6302">
        <w:rPr>
          <w:rFonts w:ascii="Calibri" w:hAnsi="Calibri" w:cs="Times New Roman"/>
          <w:szCs w:val="24"/>
          <w:vertAlign w:val="superscript"/>
        </w:rPr>
        <w:t>6</w:t>
      </w:r>
      <w:r w:rsidR="002F6302">
        <w:fldChar w:fldCharType="end"/>
      </w:r>
      <w:r>
        <w:t xml:space="preserve">. Ce logiciel utilise l’histogramme d’abondance des </w:t>
      </w:r>
      <w:proofErr w:type="spellStart"/>
      <w:r>
        <w:t>k-mers</w:t>
      </w:r>
      <w:proofErr w:type="spellEnd"/>
      <w:r>
        <w:t xml:space="preserve"> distincts. Pour différentes valeurs de k, il calcule par échantillonnage aléatoire combien de </w:t>
      </w:r>
      <w:proofErr w:type="spellStart"/>
      <w:r>
        <w:t>k-mers</w:t>
      </w:r>
      <w:proofErr w:type="spellEnd"/>
      <w:r>
        <w:t xml:space="preserve"> distincts contient le set de </w:t>
      </w:r>
      <w:proofErr w:type="spellStart"/>
      <w:r>
        <w:t>reads</w:t>
      </w:r>
      <w:proofErr w:type="spellEnd"/>
      <w:r>
        <w:t xml:space="preserve">. La valeur optimale pour k est alors celle qui donne le plus de </w:t>
      </w:r>
      <w:proofErr w:type="spellStart"/>
      <w:r>
        <w:t>k-mers</w:t>
      </w:r>
      <w:proofErr w:type="spellEnd"/>
      <w:r>
        <w:t xml:space="preserve"> distincts.</w:t>
      </w:r>
    </w:p>
    <w:p w14:paraId="2E92497E" w14:textId="6FEFBDDE" w:rsidR="00AD2D2A" w:rsidRPr="00AD2D2A" w:rsidRDefault="002F6302" w:rsidP="00AD2D2A">
      <w:r>
        <w:lastRenderedPageBreak/>
        <w:t xml:space="preserve">Le logiciel </w:t>
      </w:r>
      <w:proofErr w:type="spellStart"/>
      <w:r>
        <w:t>Lighter</w:t>
      </w:r>
      <w:proofErr w:type="spellEnd"/>
      <w:r>
        <w:t xml:space="preserve"> </w:t>
      </w:r>
      <w:r>
        <w:fldChar w:fldCharType="begin"/>
      </w:r>
      <w:r>
        <w:instrText xml:space="preserve"> ADDIN ZOTERO_ITEM CSL_CITATION {"citationID":"9ghJOFz8","properties":{"formattedCitation":"\\super 7\\nosupersub{}","plainCitation":"7","noteIndex":0},"citationItems":[{"id":24,"uris":["http://zotero.org/users/4907092/items/SUIJS28F"],"uri":["http://zotero.org/users/4907092/items/SUIJS28F"],"itemData":{"id":24,"type":"article-journal","title":"Lighter: fast and memory-efficient sequencing error correction without counting","container-title":"Genome Biology","volume":"15","issue":"11","source":"Crossref","URL":"http://genomebiology.biomedcentral.com/articles/10.1186/s13059-014-0509-9","DOI":"10.1186/s13059-014-0509-9","ISSN":"1474-760X","shortTitle":"Lighter","language":"en","author":[{"family":"Song","given":"Li"},{"family":"Florea","given":"Liliana"},{"family":"Langmead","given":"Ben"}],"issued":{"date-parts":[["2014",11]]},"accessed":{"date-parts":[["2018",4,30]]}}}],"schema":"https://github.com/citation-style-language/schema/raw/master/csl-citation.json"} </w:instrText>
      </w:r>
      <w:r>
        <w:fldChar w:fldCharType="separate"/>
      </w:r>
      <w:r w:rsidRPr="002F6302">
        <w:rPr>
          <w:rFonts w:ascii="Calibri" w:hAnsi="Calibri" w:cs="Times New Roman"/>
          <w:szCs w:val="24"/>
          <w:vertAlign w:val="superscript"/>
        </w:rPr>
        <w:t>7</w:t>
      </w:r>
      <w:r>
        <w:fldChar w:fldCharType="end"/>
      </w:r>
      <w:r w:rsidR="00AD2D2A">
        <w:t xml:space="preserve"> a été utilisé pour la correction des erreurs. Il utilise le même principe que </w:t>
      </w:r>
      <w:proofErr w:type="spellStart"/>
      <w:r w:rsidR="00AD2D2A">
        <w:t>KmerGenie</w:t>
      </w:r>
      <w:proofErr w:type="spellEnd"/>
      <w:r w:rsidR="00AD2D2A">
        <w:t xml:space="preserve">, l’abondance des </w:t>
      </w:r>
      <w:proofErr w:type="spellStart"/>
      <w:r w:rsidR="00AD2D2A">
        <w:t>k-mers</w:t>
      </w:r>
      <w:proofErr w:type="spellEnd"/>
      <w:r w:rsidR="00AD2D2A">
        <w:t xml:space="preserve"> distincts. </w:t>
      </w:r>
      <w:proofErr w:type="spellStart"/>
      <w:r w:rsidR="00AD2D2A">
        <w:t>Lighter</w:t>
      </w:r>
      <w:proofErr w:type="spellEnd"/>
      <w:r w:rsidR="00AD2D2A">
        <w:t xml:space="preserve"> a l’avantage d’utiliser des Bloom </w:t>
      </w:r>
      <w:proofErr w:type="spellStart"/>
      <w:r w:rsidR="00AD2D2A">
        <w:t>Filters</w:t>
      </w:r>
      <w:proofErr w:type="spellEnd"/>
      <w:r w:rsidR="00AD2D2A">
        <w:t xml:space="preserve">, qui est une structure de données probabiliste, dont l’utilisation peut entraîner des faux positifs (mais pas de faux négatifs). Pour cette raison </w:t>
      </w:r>
      <w:proofErr w:type="spellStart"/>
      <w:r w:rsidR="00AD2D2A">
        <w:t>Lighter</w:t>
      </w:r>
      <w:proofErr w:type="spellEnd"/>
      <w:r w:rsidR="00AD2D2A">
        <w:t xml:space="preserve"> est plus rapide que d’autres logiciels de correction d’erreurs grâce à ces Bloom </w:t>
      </w:r>
      <w:proofErr w:type="spellStart"/>
      <w:r w:rsidR="00AD2D2A">
        <w:t>Filters</w:t>
      </w:r>
      <w:proofErr w:type="spellEnd"/>
      <w:r w:rsidR="00AD2D2A">
        <w:t>, qui diminuent énormément la demande en temps de calcul et en mémoire sans sacrifier la précision ni la sensibilité.</w:t>
      </w:r>
    </w:p>
    <w:p w14:paraId="3D1A2C88" w14:textId="77777777" w:rsidR="00FE7CA7" w:rsidRDefault="00FE7CA7" w:rsidP="00AD2D2A">
      <w:pPr>
        <w:jc w:val="center"/>
      </w:pPr>
    </w:p>
    <w:p w14:paraId="302B3B5E" w14:textId="77777777" w:rsidR="00FE7CA7" w:rsidRDefault="00E54758" w:rsidP="00FE7CA7">
      <w:pPr>
        <w:pStyle w:val="Titre2"/>
      </w:pPr>
      <w:bookmarkStart w:id="9" w:name="_Toc512854519"/>
      <w:r>
        <w:t xml:space="preserve">Acquisition </w:t>
      </w:r>
      <w:r w:rsidR="00FE7CA7">
        <w:t xml:space="preserve">des données </w:t>
      </w:r>
      <w:proofErr w:type="spellStart"/>
      <w:r w:rsidR="00FE7CA7">
        <w:t>Nanopore</w:t>
      </w:r>
      <w:bookmarkEnd w:id="9"/>
      <w:proofErr w:type="spellEnd"/>
    </w:p>
    <w:p w14:paraId="05915673" w14:textId="77777777" w:rsidR="00FE7CA7" w:rsidRDefault="00FE7CA7" w:rsidP="00FE7CA7"/>
    <w:p w14:paraId="33AE3054" w14:textId="77777777" w:rsidR="00FE7CA7" w:rsidRDefault="00E54758" w:rsidP="00FE7CA7">
      <w:pPr>
        <w:pStyle w:val="Titre3"/>
      </w:pPr>
      <w:bookmarkStart w:id="10" w:name="_Toc512854520"/>
      <w:r>
        <w:t>Préparation de la banque</w:t>
      </w:r>
      <w:bookmarkEnd w:id="10"/>
    </w:p>
    <w:p w14:paraId="3C80C2FC" w14:textId="77777777" w:rsidR="00E54758" w:rsidRDefault="00E54758" w:rsidP="00E54758">
      <w:pPr>
        <w:pStyle w:val="Titre3"/>
      </w:pPr>
      <w:bookmarkStart w:id="11" w:name="_Toc512854521"/>
      <w:r>
        <w:t>Séquençage</w:t>
      </w:r>
      <w:bookmarkEnd w:id="11"/>
    </w:p>
    <w:p w14:paraId="32C5076D" w14:textId="77777777" w:rsidR="00AD2D2A" w:rsidRPr="00254444" w:rsidRDefault="00AD2D2A" w:rsidP="00AD2D2A">
      <w:r>
        <w:t xml:space="preserve">Le séquençage s’est fait sur un appareil </w:t>
      </w:r>
      <w:proofErr w:type="spellStart"/>
      <w:r>
        <w:t>MinION</w:t>
      </w:r>
      <w:proofErr w:type="spellEnd"/>
      <w:r>
        <w:t xml:space="preserve"> de Oxford </w:t>
      </w:r>
      <w:proofErr w:type="spellStart"/>
      <w:r>
        <w:t>Nanopore</w:t>
      </w:r>
      <w:proofErr w:type="spellEnd"/>
      <w:r>
        <w:t xml:space="preserve"> Technologies (ONT). Le principe est basé sur la mesure du profil électrique d’un </w:t>
      </w:r>
      <w:proofErr w:type="spellStart"/>
      <w:r>
        <w:t>nanopore</w:t>
      </w:r>
      <w:proofErr w:type="spellEnd"/>
      <w:r>
        <w:t xml:space="preserve">, par lequel passe un courant ionisé. Lorsque qu’une molécule traverse le </w:t>
      </w:r>
      <w:proofErr w:type="spellStart"/>
      <w:r>
        <w:t>pore</w:t>
      </w:r>
      <w:proofErr w:type="spellEnd"/>
      <w:r>
        <w:t xml:space="preserve">, une perturbation du courant électrique est enregistrée. La </w:t>
      </w:r>
      <w:proofErr w:type="spellStart"/>
      <w:r>
        <w:t>flowcell</w:t>
      </w:r>
      <w:proofErr w:type="spellEnd"/>
      <w:r>
        <w:t xml:space="preserve"> utilisée, r9.5, contient au minimum 800 puits, avec quatre pores au fond de chaque puits. Le séquençage génère des fichiers au format fast5, contenant les profils enregistrés des courants électriques.</w:t>
      </w:r>
    </w:p>
    <w:p w14:paraId="4BBABE2F" w14:textId="77777777" w:rsidR="00AD2D2A" w:rsidRPr="00AD2D2A" w:rsidRDefault="00AD2D2A" w:rsidP="00AD2D2A"/>
    <w:p w14:paraId="561EE5E4" w14:textId="77777777" w:rsidR="00E54758" w:rsidRDefault="00E54758" w:rsidP="00E54758">
      <w:pPr>
        <w:pStyle w:val="Titre3"/>
      </w:pPr>
      <w:bookmarkStart w:id="12" w:name="_Toc512854522"/>
      <w:r>
        <w:t>Appel de bases</w:t>
      </w:r>
      <w:bookmarkEnd w:id="12"/>
    </w:p>
    <w:p w14:paraId="7A664D57" w14:textId="77777777" w:rsidR="00AD2D2A" w:rsidRDefault="00AD2D2A" w:rsidP="00AD2D2A">
      <w:r>
        <w:t xml:space="preserve">Pour pouvoir identifier les </w:t>
      </w:r>
      <w:proofErr w:type="spellStart"/>
      <w:r>
        <w:t>reads</w:t>
      </w:r>
      <w:proofErr w:type="spellEnd"/>
      <w:r>
        <w:t xml:space="preserve"> et leurs bases à partir de ces profils, il faut les traduire en séquences interprétables. Il n’est en fait pas possible d’identifier correctement la ou les bases simplement en observant une perturbation dans le profil de courant, ou même une portion du profil. En effet, le profil du courant dépend de l’état du </w:t>
      </w:r>
      <w:proofErr w:type="spellStart"/>
      <w:r>
        <w:t>pore</w:t>
      </w:r>
      <w:proofErr w:type="spellEnd"/>
      <w:r>
        <w:t>, de ce qui précède la base, de ce qui suit, et de l’encombrement général du milieu. Pour régler ce problème, Albacore utilise le principe des réseaux neuronaux : il s’agit d’un logiciel composé de plusieurs couches de fonctions. Lorsqu’on lui fournit des données à déchiffrer dont on connaît la solution, le logiciel va définir des suites de fonctions qui vont aboutir à un résultat correct. Une phase d’apprentissage sur un grand volume de données est donc nécessaire pour que le logiciel puisse ensuite interpréter correctement de nouvelles informations.</w:t>
      </w:r>
    </w:p>
    <w:p w14:paraId="41B209ED" w14:textId="5447E0DF" w:rsidR="00AD2D2A" w:rsidRPr="00FB324B" w:rsidRDefault="00AD2D2A" w:rsidP="00AD2D2A">
      <w:proofErr w:type="spellStart"/>
      <w:r>
        <w:t>Nanopore</w:t>
      </w:r>
      <w:proofErr w:type="spellEnd"/>
      <w:r>
        <w:t xml:space="preserve"> fournit un logiciel d’appel de bases appelé Albacore, dont plusieurs versions existent. Nous avons utilisé la version la plus récente au moment de l’étude, la 2.1.10, la plus performante considé</w:t>
      </w:r>
      <w:r w:rsidR="002F6302">
        <w:t xml:space="preserve">rant plusieurs paramètres </w:t>
      </w:r>
      <w:r w:rsidR="002F6302">
        <w:fldChar w:fldCharType="begin"/>
      </w:r>
      <w:r w:rsidR="002F6302">
        <w:instrText xml:space="preserve"> ADDIN ZOTERO_ITEM CSL_CITATION {"citationID":"PlGnzSWp","properties":{"formattedCitation":"\\super 8\\nosupersub{}","plainCitation":"8","noteIndex":0},"citationItems":[{"id":25,"uris":["http://zotero.org/users/4907092/items/URVRZFY9"],"uri":["http://zotero.org/users/4907092/items/URVRZFY9"],"itemData":{"id":25,"type":"report","title":"Comparison Of Oxford Nanopore Basecalling Tools","publisher":"Zenodo","source":"DataCite","abstract":"This repository uses a bacterial genome to assess the read accuracy and consensus sequence accuracy for Oxford Nanopore Technologies (ONT) basecallers. Albacore v2.1.10, Guppy v0.5.1 and Scrappie raw v1.3.0 (all developed by ONT) were the best performers for read accuracy, and Chiron v0.3 produced the best assemblies. Consensus sequence accuracies reached approximately 99.75%, revealing that even the best basecallers still have systematic error. Nanopolish, used with its methylation-aware option, was able to raise consensus accuracy to about 99.9%. Most post-Nanopolish assemblies have similar accuracy, making basecaller choice relatively unimportant if Nanopolish is used.","URL":"https://zenodo.org/record/1188469","note":"DOI: 10.5281/zenodo.1188469","language":"en","author":[{"family":"Wick","given":"Ryan"},{"family":"Judd","given":"Louise M"},{"family":"Holt","given":"Kathryn E"}],"issued":{"date-parts":[["2018",3,5]]},"accessed":{"date-parts":[["2018",4,30]]}}}],"schema":"https://github.com/citation-style-language/schema/raw/master/csl-citation.json"} </w:instrText>
      </w:r>
      <w:r w:rsidR="002F6302">
        <w:fldChar w:fldCharType="separate"/>
      </w:r>
      <w:r w:rsidR="002F6302" w:rsidRPr="002F6302">
        <w:rPr>
          <w:rFonts w:ascii="Calibri" w:hAnsi="Calibri" w:cs="Times New Roman"/>
          <w:szCs w:val="24"/>
          <w:vertAlign w:val="superscript"/>
        </w:rPr>
        <w:t>8</w:t>
      </w:r>
      <w:r w:rsidR="002F6302">
        <w:fldChar w:fldCharType="end"/>
      </w:r>
      <w:r>
        <w:t>.</w:t>
      </w:r>
    </w:p>
    <w:p w14:paraId="6633A4BC" w14:textId="77777777" w:rsidR="00AD2D2A" w:rsidRDefault="00AD2D2A" w:rsidP="00AD2D2A">
      <w:r>
        <w:t xml:space="preserve">La qualité est estimée par Albacore, mais nous avons aussi choisi d’utiliser notre propre outil pour savoir si l’estimation fournie était correcte. L’outil </w:t>
      </w:r>
      <w:proofErr w:type="spellStart"/>
      <w:r>
        <w:t>Filtlong</w:t>
      </w:r>
      <w:proofErr w:type="spellEnd"/>
      <w:r>
        <w:t xml:space="preserve"> propose sa propre mesure de la qualité, en alignant les long </w:t>
      </w:r>
      <w:proofErr w:type="spellStart"/>
      <w:r>
        <w:t>reads</w:t>
      </w:r>
      <w:proofErr w:type="spellEnd"/>
      <w:r>
        <w:t xml:space="preserve"> issus du </w:t>
      </w:r>
      <w:proofErr w:type="spellStart"/>
      <w:r>
        <w:t>MinION</w:t>
      </w:r>
      <w:proofErr w:type="spellEnd"/>
      <w:r>
        <w:t xml:space="preserve"> avec des </w:t>
      </w:r>
      <w:proofErr w:type="gramStart"/>
      <w:r>
        <w:t>short</w:t>
      </w:r>
      <w:proofErr w:type="gramEnd"/>
      <w:r>
        <w:t xml:space="preserve"> </w:t>
      </w:r>
      <w:proofErr w:type="spellStart"/>
      <w:r>
        <w:t>reads</w:t>
      </w:r>
      <w:proofErr w:type="spellEnd"/>
      <w:r>
        <w:t xml:space="preserve"> issus de la technologie Illumina. Malheureusement, nous n’avons pas trouvé de corrélation significative entre les deux qualités estimées, c’est pourquoi nous avons choisi de ne pas tenir compte de la qualité estimée par </w:t>
      </w:r>
      <w:proofErr w:type="spellStart"/>
      <w:r>
        <w:t>Nanopore</w:t>
      </w:r>
      <w:proofErr w:type="spellEnd"/>
      <w:r>
        <w:t xml:space="preserve">, pour ne prendre en compte que celle utilisé par </w:t>
      </w:r>
      <w:proofErr w:type="spellStart"/>
      <w:r>
        <w:t>Filtlong</w:t>
      </w:r>
      <w:proofErr w:type="spellEnd"/>
      <w:r>
        <w:t xml:space="preserve">. </w:t>
      </w:r>
    </w:p>
    <w:p w14:paraId="66439FC1" w14:textId="77777777" w:rsidR="00AD2D2A" w:rsidRPr="00AD2D2A" w:rsidRDefault="00AD2D2A" w:rsidP="00AD2D2A"/>
    <w:p w14:paraId="4B5498B0" w14:textId="77777777" w:rsidR="00E54758" w:rsidRDefault="00E54758" w:rsidP="00E54758">
      <w:pPr>
        <w:pStyle w:val="Titre3"/>
      </w:pPr>
      <w:bookmarkStart w:id="13" w:name="_Toc512854523"/>
      <w:proofErr w:type="spellStart"/>
      <w:r>
        <w:t>Trimming</w:t>
      </w:r>
      <w:proofErr w:type="spellEnd"/>
      <w:r>
        <w:t xml:space="preserve"> et filtration des </w:t>
      </w:r>
      <w:proofErr w:type="spellStart"/>
      <w:r>
        <w:t>reads</w:t>
      </w:r>
      <w:bookmarkEnd w:id="13"/>
      <w:proofErr w:type="spellEnd"/>
    </w:p>
    <w:p w14:paraId="07726F28" w14:textId="77777777" w:rsidR="00AD2D2A" w:rsidRDefault="00AD2D2A" w:rsidP="00AD2D2A">
      <w:r>
        <w:t xml:space="preserve">Le </w:t>
      </w:r>
      <w:proofErr w:type="spellStart"/>
      <w:r>
        <w:t>trimming</w:t>
      </w:r>
      <w:proofErr w:type="spellEnd"/>
      <w:r>
        <w:t xml:space="preserve"> a été réalisé par le logiciel </w:t>
      </w:r>
      <w:proofErr w:type="spellStart"/>
      <w:r>
        <w:t>porechop</w:t>
      </w:r>
      <w:proofErr w:type="spellEnd"/>
      <w:r>
        <w:t xml:space="preserve">. Ce logiciel scanne d’abord les données pour déterminer les adaptateurs issus du séquençage présents dans les </w:t>
      </w:r>
      <w:proofErr w:type="spellStart"/>
      <w:r>
        <w:t>reads</w:t>
      </w:r>
      <w:proofErr w:type="spellEnd"/>
      <w:r>
        <w:t xml:space="preserve">, puis va couper les portions </w:t>
      </w:r>
      <w:r>
        <w:lastRenderedPageBreak/>
        <w:t xml:space="preserve">des </w:t>
      </w:r>
      <w:proofErr w:type="spellStart"/>
      <w:r>
        <w:t>reads</w:t>
      </w:r>
      <w:proofErr w:type="spellEnd"/>
      <w:r>
        <w:t xml:space="preserve"> contenant ces adaptateurs. Il détecte aussi les </w:t>
      </w:r>
      <w:proofErr w:type="spellStart"/>
      <w:r>
        <w:t>reads</w:t>
      </w:r>
      <w:proofErr w:type="spellEnd"/>
      <w:r>
        <w:t xml:space="preserve"> chimères, c’est-à-dire un </w:t>
      </w:r>
      <w:proofErr w:type="spellStart"/>
      <w:r>
        <w:t>read</w:t>
      </w:r>
      <w:proofErr w:type="spellEnd"/>
      <w:r>
        <w:t xml:space="preserve"> unique issu de deux fragments d’ADN distinct. De tels </w:t>
      </w:r>
      <w:proofErr w:type="spellStart"/>
      <w:r>
        <w:t>reads</w:t>
      </w:r>
      <w:proofErr w:type="spellEnd"/>
      <w:r>
        <w:t xml:space="preserve"> sont coupés par </w:t>
      </w:r>
      <w:proofErr w:type="spellStart"/>
      <w:r>
        <w:t>porechop</w:t>
      </w:r>
      <w:proofErr w:type="spellEnd"/>
      <w:r>
        <w:t>.</w:t>
      </w:r>
    </w:p>
    <w:p w14:paraId="4C1F157E" w14:textId="77777777" w:rsidR="00AD2D2A" w:rsidRDefault="00AD2D2A" w:rsidP="00AD2D2A">
      <w:r>
        <w:t xml:space="preserve">Les </w:t>
      </w:r>
      <w:proofErr w:type="spellStart"/>
      <w:r>
        <w:t>reads</w:t>
      </w:r>
      <w:proofErr w:type="spellEnd"/>
      <w:r>
        <w:t xml:space="preserve"> </w:t>
      </w:r>
      <w:proofErr w:type="spellStart"/>
      <w:r>
        <w:t>trimmés</w:t>
      </w:r>
      <w:proofErr w:type="spellEnd"/>
      <w:r>
        <w:t xml:space="preserve"> ont ensuite été filtrés avec le logiciel </w:t>
      </w:r>
      <w:proofErr w:type="spellStart"/>
      <w:r>
        <w:t>Filtlong</w:t>
      </w:r>
      <w:proofErr w:type="spellEnd"/>
      <w:r>
        <w:t xml:space="preserve">, qui a pour but, à partir d’un ensemble de données, de produire un second ensemble plus petit mais de meilleure qualité. Pour cela il prend en compte un ensemble de critère pour établir un score de qualité. Il est possible de spécifier quels critères utiliser, ainsi que le poids à leur donner. Nous avons choisi d’utiliser comme unique critère de qualité l’alignement des long </w:t>
      </w:r>
      <w:proofErr w:type="spellStart"/>
      <w:r>
        <w:t>reads</w:t>
      </w:r>
      <w:proofErr w:type="spellEnd"/>
      <w:r>
        <w:t xml:space="preserve"> sur </w:t>
      </w:r>
      <w:proofErr w:type="gramStart"/>
      <w:r>
        <w:t>les short</w:t>
      </w:r>
      <w:proofErr w:type="gramEnd"/>
      <w:r>
        <w:t xml:space="preserve"> </w:t>
      </w:r>
      <w:proofErr w:type="spellStart"/>
      <w:r>
        <w:t>reads</w:t>
      </w:r>
      <w:proofErr w:type="spellEnd"/>
      <w:r>
        <w:t xml:space="preserve"> d’Illumina.</w:t>
      </w:r>
    </w:p>
    <w:p w14:paraId="5F8852F2" w14:textId="77777777" w:rsidR="00AD2D2A" w:rsidRPr="00AD2D2A" w:rsidRDefault="00AD2D2A" w:rsidP="00AD2D2A"/>
    <w:p w14:paraId="0BE2F565" w14:textId="77777777" w:rsidR="00E54758" w:rsidRPr="00E54758" w:rsidRDefault="00E54758" w:rsidP="00E54758">
      <w:pPr>
        <w:pStyle w:val="Titre3"/>
      </w:pPr>
      <w:bookmarkStart w:id="14" w:name="_Toc512854524"/>
      <w:r>
        <w:t xml:space="preserve">Correction des </w:t>
      </w:r>
      <w:proofErr w:type="spellStart"/>
      <w:r>
        <w:t>reads</w:t>
      </w:r>
      <w:bookmarkEnd w:id="14"/>
      <w:proofErr w:type="spellEnd"/>
    </w:p>
    <w:p w14:paraId="1CECD140" w14:textId="77777777" w:rsidR="00AD2D2A" w:rsidRDefault="00AD2D2A" w:rsidP="00AD2D2A">
      <w:r>
        <w:t xml:space="preserve">Les </w:t>
      </w:r>
      <w:proofErr w:type="spellStart"/>
      <w:r>
        <w:t>reads</w:t>
      </w:r>
      <w:proofErr w:type="spellEnd"/>
      <w:r>
        <w:t xml:space="preserve"> ont été corrigés selon deux méthodes différentes, en utilisant </w:t>
      </w:r>
      <w:proofErr w:type="spellStart"/>
      <w:r>
        <w:t>Jabba</w:t>
      </w:r>
      <w:proofErr w:type="spellEnd"/>
      <w:r>
        <w:t xml:space="preserve"> et en utilisant HG-</w:t>
      </w:r>
      <w:proofErr w:type="spellStart"/>
      <w:r>
        <w:t>CoLoR</w:t>
      </w:r>
      <w:proofErr w:type="spellEnd"/>
      <w:r>
        <w:t xml:space="preserve">. Les deux pipelines suivent le même principe : d’abord, la construction d’un graphe De </w:t>
      </w:r>
      <w:proofErr w:type="spellStart"/>
      <w:r>
        <w:t>Bruijn</w:t>
      </w:r>
      <w:proofErr w:type="spellEnd"/>
      <w:r>
        <w:t xml:space="preserve"> à partir de short </w:t>
      </w:r>
      <w:proofErr w:type="spellStart"/>
      <w:r>
        <w:t>reads</w:t>
      </w:r>
      <w:proofErr w:type="spellEnd"/>
      <w:r>
        <w:t xml:space="preserve"> corrigés issus de la technologie Illumina, puis l’alignement des long </w:t>
      </w:r>
      <w:proofErr w:type="spellStart"/>
      <w:r>
        <w:t>reads</w:t>
      </w:r>
      <w:proofErr w:type="spellEnd"/>
      <w:r>
        <w:t xml:space="preserve"> issus de la technologie </w:t>
      </w:r>
      <w:proofErr w:type="spellStart"/>
      <w:r>
        <w:t>Nanopore</w:t>
      </w:r>
      <w:proofErr w:type="spellEnd"/>
      <w:r>
        <w:t xml:space="preserve"> afin de corriger ces derniers. En revanche, la manière de construire le </w:t>
      </w:r>
      <w:proofErr w:type="spellStart"/>
      <w:r>
        <w:t>graphe</w:t>
      </w:r>
      <w:proofErr w:type="spellEnd"/>
      <w:r>
        <w:t xml:space="preserve">, ainsi que celle d’aligner les long </w:t>
      </w:r>
      <w:proofErr w:type="spellStart"/>
      <w:r>
        <w:t>reads</w:t>
      </w:r>
      <w:proofErr w:type="spellEnd"/>
      <w:r>
        <w:t xml:space="preserve">, ne sont pas les même pour </w:t>
      </w:r>
      <w:proofErr w:type="spellStart"/>
      <w:r>
        <w:t>Jabba</w:t>
      </w:r>
      <w:proofErr w:type="spellEnd"/>
      <w:r>
        <w:t xml:space="preserve"> et pour HG-</w:t>
      </w:r>
      <w:proofErr w:type="spellStart"/>
      <w:r>
        <w:t>CoLoR</w:t>
      </w:r>
      <w:proofErr w:type="spellEnd"/>
      <w:r>
        <w:t>.</w:t>
      </w:r>
    </w:p>
    <w:p w14:paraId="44244882" w14:textId="77777777" w:rsidR="00FE7CA7" w:rsidRDefault="00FE7CA7" w:rsidP="00FE7CA7"/>
    <w:p w14:paraId="3EFE8F46" w14:textId="77777777" w:rsidR="00FE7CA7" w:rsidRDefault="00FE7CA7" w:rsidP="00FE7CA7">
      <w:pPr>
        <w:pStyle w:val="Titre2"/>
      </w:pPr>
      <w:bookmarkStart w:id="15" w:name="_Toc512854525"/>
      <w:r>
        <w:t xml:space="preserve">Assemblage hybride des </w:t>
      </w:r>
      <w:proofErr w:type="spellStart"/>
      <w:r>
        <w:t>reads</w:t>
      </w:r>
      <w:bookmarkEnd w:id="15"/>
      <w:proofErr w:type="spellEnd"/>
    </w:p>
    <w:p w14:paraId="46CB476C" w14:textId="73680D0E" w:rsidR="00AD2D2A" w:rsidRPr="00AD2D2A" w:rsidRDefault="00AD2D2A" w:rsidP="00AD2D2A">
      <w:r>
        <w:t xml:space="preserve">Afin de réaliser un assemblage </w:t>
      </w:r>
      <w:r w:rsidRPr="00730010">
        <w:rPr>
          <w:i/>
        </w:rPr>
        <w:t>de novo</w:t>
      </w:r>
      <w:r>
        <w:t xml:space="preserve"> avec des </w:t>
      </w:r>
      <w:proofErr w:type="spellStart"/>
      <w:r>
        <w:t>reads</w:t>
      </w:r>
      <w:proofErr w:type="spellEnd"/>
      <w:r>
        <w:t xml:space="preserve"> issus de deux technologies différentes, le choix de l’assembleur est une étape importante. Il existe deux assembleurs majeurs permettant de réaliser un assemblage hybride </w:t>
      </w:r>
      <w:r>
        <w:rPr>
          <w:i/>
        </w:rPr>
        <w:t xml:space="preserve">de </w:t>
      </w:r>
      <w:r w:rsidRPr="006D13B0">
        <w:rPr>
          <w:i/>
        </w:rPr>
        <w:t>novo</w:t>
      </w:r>
      <w:r>
        <w:rPr>
          <w:i/>
        </w:rPr>
        <w:t> </w:t>
      </w:r>
      <w:r>
        <w:t xml:space="preserve">: </w:t>
      </w:r>
      <w:proofErr w:type="spellStart"/>
      <w:r w:rsidRPr="00730010">
        <w:rPr>
          <w:i/>
        </w:rPr>
        <w:t>SPAdes</w:t>
      </w:r>
      <w:proofErr w:type="spellEnd"/>
      <w:r w:rsidR="00B5287A">
        <w:t xml:space="preserve"> </w:t>
      </w:r>
      <w:r w:rsidR="00B5287A">
        <w:fldChar w:fldCharType="begin"/>
      </w:r>
      <w:r w:rsidR="00B5287A">
        <w:instrText xml:space="preserve"> ADDIN ZOTERO_ITEM CSL_CITATION {"citationID":"SSfQVlLf","properties":{"formattedCitation":"\\super 9\\nosupersub{}","plainCitation":"9","noteIndex":0},"citationItems":[{"id":5,"uris":["http://zotero.org/users/4907092/items/HWG7S9HV"],"uri":["http://zotero.org/users/4907092/items/HWG7S9HV"],"itemData":{"id":5,"type":"article-journal","title":"SPAdes: A New Genome Assembly Algorithm and Its Applications to Single-Cell Sequencing","container-title":"Journal of Computational Biology","page":"455-477","volume":"19","issue":"5","source":"Crossref","DOI":"10.1089/cmb.2012.0021","ISSN":"1066-5277, 1557-8666","shortTitle":"SPAdes","language":"en","author":[{"family":"Bankevich","given":"Anton"},{"family":"Nurk","given":"Sergey"},{"family":"Antipov","given":"Dmitry"},{"family":"Gurevich","given":"Alexey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A."}],"issued":{"date-parts":[["2012",5]]}}}],"schema":"https://github.com/citation-style-language/schema/raw/master/csl-citation.json"} </w:instrText>
      </w:r>
      <w:r w:rsidR="00B5287A">
        <w:fldChar w:fldCharType="separate"/>
      </w:r>
      <w:r w:rsidR="00B5287A" w:rsidRPr="00B5287A">
        <w:rPr>
          <w:rFonts w:ascii="Calibri" w:hAnsi="Calibri" w:cs="Times New Roman"/>
          <w:szCs w:val="24"/>
          <w:vertAlign w:val="superscript"/>
        </w:rPr>
        <w:t>9</w:t>
      </w:r>
      <w:r w:rsidR="00B5287A">
        <w:fldChar w:fldCharType="end"/>
      </w:r>
      <w:r w:rsidR="00B5287A">
        <w:t xml:space="preserve"> et </w:t>
      </w:r>
      <w:proofErr w:type="spellStart"/>
      <w:r w:rsidR="00B5287A">
        <w:t>MaSuRCA</w:t>
      </w:r>
      <w:proofErr w:type="spellEnd"/>
      <w:r w:rsidR="00B5287A">
        <w:t xml:space="preserve"> </w:t>
      </w:r>
      <w:r w:rsidR="00B5287A">
        <w:fldChar w:fldCharType="begin"/>
      </w:r>
      <w:r w:rsidR="00B5287A">
        <w:instrText xml:space="preserve"> ADDIN ZOTERO_ITEM CSL_CITATION {"citationID":"gjw8l1y5","properties":{"formattedCitation":"\\super 10\\nosupersub{}","plainCitation":"10","noteIndex":0},"citationItems":[{"id":37,"uris":["http://zotero.org/users/4907092/items/RPCI7CCT"],"uri":["http://zotero.org/users/4907092/items/RPCI7CCT"],"itemData":{"id":37,"type":"article-journal","title":"The MaSuRCA genome assembler","container-title":"Bioinformatics","page":"2669-2677","volume":"29","issue":"21","source":"Crossref","DOI":"10.1093/bioinformatics/btt476","ISSN":"1367-4803, 1460-2059","language":"en","author":[{"family":"Zimin","given":"Aleksey V."},{"family":"Marçais","given":"Guillaume"},{"family":"Puiu","given":"Daniela"},{"family":"Roberts","given":"Michael"},{"family":"Salzberg","given":"Steven L."},{"family":"Yorke","given":"James A."}],"issued":{"date-parts":[["2013",11]]}}}],"schema":"https://github.com/citation-style-language/schema/raw/master/csl-citation.json"} </w:instrText>
      </w:r>
      <w:r w:rsidR="00B5287A">
        <w:fldChar w:fldCharType="separate"/>
      </w:r>
      <w:r w:rsidR="00B5287A" w:rsidRPr="00B5287A">
        <w:rPr>
          <w:rFonts w:ascii="Calibri" w:hAnsi="Calibri" w:cs="Times New Roman"/>
          <w:szCs w:val="24"/>
          <w:vertAlign w:val="superscript"/>
        </w:rPr>
        <w:t>10</w:t>
      </w:r>
      <w:r w:rsidR="00B5287A">
        <w:fldChar w:fldCharType="end"/>
      </w:r>
      <w:r>
        <w:t>.</w:t>
      </w:r>
    </w:p>
    <w:p w14:paraId="7F7FCFA6" w14:textId="77777777" w:rsidR="00E54758" w:rsidRDefault="00E54758" w:rsidP="00E54758">
      <w:pPr>
        <w:pStyle w:val="Titre3"/>
      </w:pPr>
      <w:bookmarkStart w:id="16" w:name="_Toc512854526"/>
      <w:proofErr w:type="spellStart"/>
      <w:r>
        <w:t>SPAdes</w:t>
      </w:r>
      <w:bookmarkEnd w:id="16"/>
      <w:proofErr w:type="spellEnd"/>
    </w:p>
    <w:p w14:paraId="654E1634" w14:textId="2A114054" w:rsidR="00AD2D2A" w:rsidRDefault="00AD2D2A" w:rsidP="00AD2D2A">
      <w:proofErr w:type="spellStart"/>
      <w:r>
        <w:t>SPAdes</w:t>
      </w:r>
      <w:proofErr w:type="spellEnd"/>
      <w:r>
        <w:t xml:space="preserve"> construit un graphe De </w:t>
      </w:r>
      <w:proofErr w:type="spellStart"/>
      <w:r>
        <w:t>Bruijn</w:t>
      </w:r>
      <w:proofErr w:type="spellEnd"/>
      <w:r>
        <w:t xml:space="preserve"> avec </w:t>
      </w:r>
      <w:proofErr w:type="gramStart"/>
      <w:r>
        <w:t>les short</w:t>
      </w:r>
      <w:proofErr w:type="gramEnd"/>
      <w:r>
        <w:t xml:space="preserve"> </w:t>
      </w:r>
      <w:proofErr w:type="spellStart"/>
      <w:r>
        <w:t>reads</w:t>
      </w:r>
      <w:proofErr w:type="spellEnd"/>
      <w:r>
        <w:t xml:space="preserve"> Illumina, puis cherche à résoudre ce graphe, en s’aidant des long </w:t>
      </w:r>
      <w:proofErr w:type="spellStart"/>
      <w:r>
        <w:t>reads</w:t>
      </w:r>
      <w:proofErr w:type="spellEnd"/>
      <w:r>
        <w:t xml:space="preserve"> afin d’obtenir un assemblage de meilleure qualité et moins fracturé. Il a déjà été utilisé avec succès pour assembler des génomes eucaryotes </w:t>
      </w:r>
      <w:r w:rsidR="00B5287A">
        <w:fldChar w:fldCharType="begin"/>
      </w:r>
      <w:r w:rsidR="00B5287A">
        <w:instrText xml:space="preserve"> ADDIN ZOTERO_ITEM CSL_CITATION {"citationID":"qDzH3nju","properties":{"formattedCitation":"\\super 11,12\\nosupersub{}","plainCitation":"11,12","noteIndex":0},"citationItems":[{"id":26,"uris":["http://zotero.org/users/4907092/items/V384RCVS"],"uri":["http://zotero.org/users/4907092/items/V384RCVS"],"itemData":{"id":26,"type":"article-journal","title":"Scaffolding and completing genome assemblies in real-time with nanopore sequencing","container-title":"Nature Communications","page":"14515","volume":"8","source":"Crossref","DOI":"10.1038/ncomms14515","ISSN":"2041-1723","author":[{"family":"Cao","given":"Minh Duc"},{"family":"Nguyen","given":"Son Hoang"},{"family":"Ganesamoorthy","given":"Devika"},{"family":"Elliott","given":"Alysha G."},{"family":"Cooper","given":"Matthew A."},{"family":"Coin","given":"Lachlan J. M."}],"issued":{"date-parts":[["2017",2,20]]}}},{"id":27,"uris":["http://zotero.org/users/4907092/items/AIY7UAP6"],"uri":["http://zotero.org/users/4907092/items/AIY7UAP6"],"itemData":{"id":27,"type":"article-journal","title":"Single-Molecule Real-Time Sequencing Combined with Optical Mapping Yields Completely Finished Fungal Genome","container-title":"mBio","page":"e00936-15","volume":"6","issue":"4","source":"Crossref","DOI":"10.1128/mBio.00936-15","ISSN":"2150-7511","language":"en","author":[{"family":"Faino","given":"Luigi"},{"family":"Seidl","given":"Michael F."},{"family":"Datema","given":"Erwin"},{"family":"Berg","given":"Grardy C. M.","non-dropping-particle":"van den"},{"family":"Janssen","given":"Antoine"},{"family":"Wittenberg","given":"Alexander H. J."},{"family":"Thomma","given":"Bart P. H. J."}],"issued":{"date-parts":[["2015",9,1]]}}}],"schema":"https://github.com/citation-style-language/schema/raw/master/csl-citation.json"} </w:instrText>
      </w:r>
      <w:r w:rsidR="00B5287A">
        <w:fldChar w:fldCharType="separate"/>
      </w:r>
      <w:r w:rsidR="00B5287A" w:rsidRPr="00B5287A">
        <w:rPr>
          <w:rFonts w:ascii="Calibri" w:hAnsi="Calibri" w:cs="Times New Roman"/>
          <w:szCs w:val="24"/>
          <w:vertAlign w:val="superscript"/>
        </w:rPr>
        <w:t>11,12</w:t>
      </w:r>
      <w:r w:rsidR="00B5287A">
        <w:fldChar w:fldCharType="end"/>
      </w:r>
      <w:r>
        <w:t>.</w:t>
      </w:r>
    </w:p>
    <w:p w14:paraId="7FB6AF50" w14:textId="77777777" w:rsidR="00AD2D2A" w:rsidRPr="00AD2D2A" w:rsidRDefault="00AD2D2A" w:rsidP="00AD2D2A">
      <w:r>
        <w:t xml:space="preserve">Nous avons fait tourner </w:t>
      </w:r>
      <w:proofErr w:type="spellStart"/>
      <w:r>
        <w:t>SPAdes</w:t>
      </w:r>
      <w:proofErr w:type="spellEnd"/>
      <w:r>
        <w:t xml:space="preserve"> avec différentes tailles de </w:t>
      </w:r>
      <w:proofErr w:type="spellStart"/>
      <w:r>
        <w:t>k-mer</w:t>
      </w:r>
      <w:proofErr w:type="spellEnd"/>
      <w:r>
        <w:t xml:space="preserve"> afin de retenir la taille produisant la meilleure qualité d’assemblage, puis l’assemblage final a été fait sur la taille de </w:t>
      </w:r>
      <w:proofErr w:type="spellStart"/>
      <w:r>
        <w:t>kmer</w:t>
      </w:r>
      <w:proofErr w:type="spellEnd"/>
      <w:r>
        <w:t xml:space="preserve"> la plus appropriée.</w:t>
      </w:r>
    </w:p>
    <w:p w14:paraId="1E709BE2" w14:textId="77777777" w:rsidR="00E54758" w:rsidRDefault="00E54758" w:rsidP="00E54758">
      <w:pPr>
        <w:pStyle w:val="Titre3"/>
      </w:pPr>
      <w:bookmarkStart w:id="17" w:name="_Toc512854527"/>
      <w:proofErr w:type="spellStart"/>
      <w:r>
        <w:t>MaSuRCA</w:t>
      </w:r>
      <w:bookmarkEnd w:id="17"/>
      <w:proofErr w:type="spellEnd"/>
    </w:p>
    <w:p w14:paraId="6118DE7A" w14:textId="77777777" w:rsidR="00AD2D2A" w:rsidRPr="00AD2D2A" w:rsidRDefault="00AD2D2A" w:rsidP="00AD2D2A">
      <w:r>
        <w:t xml:space="preserve">L’approche de </w:t>
      </w:r>
      <w:proofErr w:type="spellStart"/>
      <w:r>
        <w:t>MaSuRCA</w:t>
      </w:r>
      <w:proofErr w:type="spellEnd"/>
      <w:r>
        <w:t xml:space="preserve"> est de transformer </w:t>
      </w:r>
      <w:proofErr w:type="gramStart"/>
      <w:r>
        <w:t>les short</w:t>
      </w:r>
      <w:proofErr w:type="gramEnd"/>
      <w:r>
        <w:t xml:space="preserve"> </w:t>
      </w:r>
      <w:proofErr w:type="spellStart"/>
      <w:r>
        <w:t>reads</w:t>
      </w:r>
      <w:proofErr w:type="spellEnd"/>
      <w:r>
        <w:t xml:space="preserve"> initiaux en super-</w:t>
      </w:r>
      <w:proofErr w:type="spellStart"/>
      <w:r>
        <w:t>reads</w:t>
      </w:r>
      <w:proofErr w:type="spellEnd"/>
      <w:r>
        <w:t xml:space="preserve">, qui permettent (entre autres) un meilleur alignement avec les long </w:t>
      </w:r>
      <w:proofErr w:type="spellStart"/>
      <w:r>
        <w:t>reads</w:t>
      </w:r>
      <w:proofErr w:type="spellEnd"/>
      <w:r>
        <w:t xml:space="preserve"> sans perdre d’information. Ces super-</w:t>
      </w:r>
      <w:proofErr w:type="spellStart"/>
      <w:r>
        <w:t>reads</w:t>
      </w:r>
      <w:proofErr w:type="spellEnd"/>
      <w:r>
        <w:t xml:space="preserve"> sont </w:t>
      </w:r>
      <w:proofErr w:type="spellStart"/>
      <w:r>
        <w:t>pré-assemblés</w:t>
      </w:r>
      <w:proofErr w:type="spellEnd"/>
      <w:r>
        <w:t xml:space="preserve"> à l’aide des long </w:t>
      </w:r>
      <w:proofErr w:type="spellStart"/>
      <w:r>
        <w:t>reads</w:t>
      </w:r>
      <w:proofErr w:type="spellEnd"/>
      <w:r>
        <w:t xml:space="preserve"> selon un algorithme de ‘fusion et juxtaposition’, afin d’obtenir des </w:t>
      </w:r>
      <w:proofErr w:type="spellStart"/>
      <w:r>
        <w:t>mega-reads</w:t>
      </w:r>
      <w:proofErr w:type="spellEnd"/>
      <w:r>
        <w:t xml:space="preserve">. Ces </w:t>
      </w:r>
      <w:proofErr w:type="spellStart"/>
      <w:r>
        <w:t>mega-reads</w:t>
      </w:r>
      <w:proofErr w:type="spellEnd"/>
      <w:r>
        <w:t xml:space="preserve"> sont finalement assemblés à l’aide d’une approche OLC (</w:t>
      </w:r>
      <w:proofErr w:type="spellStart"/>
      <w:r>
        <w:t>Overlap</w:t>
      </w:r>
      <w:proofErr w:type="spellEnd"/>
      <w:r>
        <w:t>-</w:t>
      </w:r>
      <w:proofErr w:type="spellStart"/>
      <w:r>
        <w:t>Layout</w:t>
      </w:r>
      <w:proofErr w:type="spellEnd"/>
      <w:r>
        <w:t>-Consensus).</w:t>
      </w:r>
    </w:p>
    <w:p w14:paraId="121BE310" w14:textId="77777777" w:rsidR="00E54758" w:rsidRPr="00E54758" w:rsidRDefault="00E54758" w:rsidP="00E54758">
      <w:pPr>
        <w:pStyle w:val="Titre3"/>
      </w:pPr>
      <w:bookmarkStart w:id="18" w:name="_Toc512854528"/>
      <w:r>
        <w:t>Contrôle qualité de l’assemblage</w:t>
      </w:r>
      <w:bookmarkEnd w:id="18"/>
    </w:p>
    <w:p w14:paraId="52E29023" w14:textId="7709F420" w:rsidR="00AD2D2A" w:rsidRDefault="00AD2D2A" w:rsidP="00AD2D2A">
      <w:r>
        <w:t xml:space="preserve">Afin d’évaluer l’assemblage crée par </w:t>
      </w:r>
      <w:proofErr w:type="spellStart"/>
      <w:r>
        <w:t>SPAdes</w:t>
      </w:r>
      <w:proofErr w:type="spellEnd"/>
      <w:r>
        <w:t xml:space="preserve">, nous avons cherché à aligner les shorts </w:t>
      </w:r>
      <w:proofErr w:type="spellStart"/>
      <w:r>
        <w:t>reads</w:t>
      </w:r>
      <w:proofErr w:type="spellEnd"/>
      <w:r>
        <w:t xml:space="preserve"> d’Illumina d</w:t>
      </w:r>
      <w:r w:rsidR="00B5287A">
        <w:t xml:space="preserve">essus, en utilisant BWA-MEM </w:t>
      </w:r>
      <w:r w:rsidR="00B5287A">
        <w:fldChar w:fldCharType="begin"/>
      </w:r>
      <w:r w:rsidR="00B5287A">
        <w:instrText xml:space="preserve"> ADDIN ZOTERO_ITEM CSL_CITATION {"citationID":"fGnIPb1F","properties":{"formattedCitation":"\\super 13\\nosupersub{}","plainCitation":"13","noteIndex":0},"citationItems":[{"id":33,"uris":["http://zotero.org/users/4907092/items/XTY9T448"],"uri":["http://zotero.org/users/4907092/items/XTY9T448"],"itemData":{"id":33,"type":"article-journal","title":"Aligning sequence reads, clone sequences and assembly contigs with BWA-MEM","container-title":"arXiv:1303.3997 [q-bio]","source":"arXiv.org","abstract":"Summary: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hengli@broadinstitute.org","URL":"http://arxiv.org/abs/1303.3997","note":"arXiv: 1303.3997","author":[{"family":"Li","given":"Heng"}],"issued":{"date-parts":[["2013",3,16]]},"accessed":{"date-parts":[["2018",4,30]]}}}],"schema":"https://github.com/citation-style-language/schema/raw/master/csl-citation.json"} </w:instrText>
      </w:r>
      <w:r w:rsidR="00B5287A">
        <w:fldChar w:fldCharType="separate"/>
      </w:r>
      <w:r w:rsidR="00B5287A" w:rsidRPr="00B5287A">
        <w:rPr>
          <w:rFonts w:ascii="Calibri" w:hAnsi="Calibri" w:cs="Times New Roman"/>
          <w:szCs w:val="24"/>
          <w:vertAlign w:val="superscript"/>
        </w:rPr>
        <w:t>13</w:t>
      </w:r>
      <w:r w:rsidR="00B5287A">
        <w:fldChar w:fldCharType="end"/>
      </w:r>
      <w:bookmarkStart w:id="19" w:name="_GoBack"/>
      <w:bookmarkEnd w:id="19"/>
      <w:r>
        <w:t xml:space="preserve">, suivi d’une étape de réalignement des </w:t>
      </w:r>
      <w:proofErr w:type="spellStart"/>
      <w:r>
        <w:t>indels</w:t>
      </w:r>
      <w:proofErr w:type="spellEnd"/>
      <w:r>
        <w:t xml:space="preserve"> avec l’outil GATK (</w:t>
      </w:r>
      <w:proofErr w:type="spellStart"/>
      <w:r>
        <w:t>Genome</w:t>
      </w:r>
      <w:proofErr w:type="spellEnd"/>
      <w:r>
        <w:t xml:space="preserve"> </w:t>
      </w:r>
      <w:proofErr w:type="spellStart"/>
      <w:r>
        <w:t>Analysis</w:t>
      </w:r>
      <w:proofErr w:type="spellEnd"/>
      <w:r>
        <w:t xml:space="preserve"> </w:t>
      </w:r>
      <w:proofErr w:type="spellStart"/>
      <w:r>
        <w:t>Toolkit</w:t>
      </w:r>
      <w:proofErr w:type="spellEnd"/>
      <w:r>
        <w:t xml:space="preserve">) </w:t>
      </w:r>
      <w:proofErr w:type="spellStart"/>
      <w:r>
        <w:t>InDelRealigner</w:t>
      </w:r>
      <w:proofErr w:type="spellEnd"/>
      <w:r>
        <w:t xml:space="preserve">. Cet alignement a été évalué par </w:t>
      </w:r>
      <w:proofErr w:type="spellStart"/>
      <w:r>
        <w:t>Quast</w:t>
      </w:r>
      <w:proofErr w:type="spellEnd"/>
      <w:r>
        <w:t>, qui permet d’obtenir de nombreuses statistiques pour établir une qualité.</w:t>
      </w:r>
    </w:p>
    <w:p w14:paraId="58C078D0" w14:textId="77777777" w:rsidR="00FE7CA7" w:rsidRDefault="00FE7CA7" w:rsidP="00FE7CA7"/>
    <w:p w14:paraId="6AE7A531" w14:textId="77777777" w:rsidR="00FE7CA7" w:rsidRDefault="00FE7CA7" w:rsidP="00FE7CA7">
      <w:pPr>
        <w:pStyle w:val="Titre1"/>
      </w:pPr>
      <w:bookmarkStart w:id="20" w:name="_Toc512854529"/>
      <w:r>
        <w:lastRenderedPageBreak/>
        <w:t>Résultats</w:t>
      </w:r>
      <w:bookmarkEnd w:id="20"/>
    </w:p>
    <w:p w14:paraId="53B93CA4" w14:textId="77777777" w:rsidR="00E54758" w:rsidRDefault="00E54758" w:rsidP="00E54758">
      <w:pPr>
        <w:pStyle w:val="Titre2"/>
      </w:pPr>
      <w:bookmarkStart w:id="21" w:name="_Toc512854530"/>
      <w:r>
        <w:t>Séquençage Illumina</w:t>
      </w:r>
      <w:bookmarkEnd w:id="21"/>
    </w:p>
    <w:p w14:paraId="04583287" w14:textId="77777777" w:rsidR="00AD2D2A" w:rsidRDefault="00AD2D2A" w:rsidP="00AD2D2A">
      <w:r>
        <w:t>9,3µg d’échantillon ont été obtenus, ce qui est suffisant pour l’utilisation du kit, et l’analyse de la qualité de l’ADN a montré une bonne intégrité de l’échantillon (Figure 2) ainsi que la pureté de l’ADN, ce qui a permis de valider l’échantillon pour la construction de la banque.</w:t>
      </w:r>
    </w:p>
    <w:p w14:paraId="46971B71" w14:textId="77777777" w:rsidR="00AD2D2A" w:rsidRPr="002B6496" w:rsidRDefault="00AD2D2A" w:rsidP="00AD2D2A">
      <w:r>
        <w:rPr>
          <w:noProof/>
          <w:lang w:eastAsia="fr-FR"/>
        </w:rPr>
        <w:t>La</w:t>
      </w:r>
      <w:r>
        <w:t xml:space="preserve"> taille moyenne des fragments obtenus était de 462pb après préparation de la banque, ce qui est conforme pour le séquençage (Figure 3). En revanche, la courbe obtenue n’était pas une gaussienne comme attendue ce qui indique un possible biais de fragmentation.</w:t>
      </w:r>
    </w:p>
    <w:p w14:paraId="2E0492F2" w14:textId="77777777" w:rsidR="00AD2D2A" w:rsidRDefault="00AD2D2A" w:rsidP="00AD2D2A">
      <w:pPr>
        <w:keepNext/>
      </w:pPr>
      <w:r>
        <w:t xml:space="preserve">Après séquençage, le taux d’erreur était bien inférieur à 2% pour chaque </w:t>
      </w:r>
      <w:proofErr w:type="spellStart"/>
      <w:r>
        <w:t>read</w:t>
      </w:r>
      <w:proofErr w:type="spellEnd"/>
      <w:r>
        <w:t xml:space="preserve"> (Tableau 1), et la quantité de </w:t>
      </w:r>
      <w:proofErr w:type="spellStart"/>
      <w:r>
        <w:t>reads</w:t>
      </w:r>
      <w:proofErr w:type="spellEnd"/>
      <w:r>
        <w:t xml:space="preserve"> excédait 130 millions, donc les résultats sont bien rentrés dans les spécifications du fournisseur.</w:t>
      </w:r>
    </w:p>
    <w:p w14:paraId="0086200A" w14:textId="77777777" w:rsidR="00AD2D2A" w:rsidRDefault="00AD2D2A" w:rsidP="00AD2D2A">
      <w:r>
        <w:t xml:space="preserve">L’analyse de </w:t>
      </w:r>
      <w:proofErr w:type="spellStart"/>
      <w:r>
        <w:t>FastQC</w:t>
      </w:r>
      <w:proofErr w:type="spellEnd"/>
      <w:r>
        <w:t xml:space="preserve"> après démultiplexage indiquait une bonne qualité des bases et des séquences. Cependant, certains </w:t>
      </w:r>
      <w:proofErr w:type="spellStart"/>
      <w:r>
        <w:t>reads</w:t>
      </w:r>
      <w:proofErr w:type="spellEnd"/>
      <w:r>
        <w:t xml:space="preserve"> présentaient des </w:t>
      </w:r>
      <w:proofErr w:type="spellStart"/>
      <w:r>
        <w:t>polyG</w:t>
      </w:r>
      <w:proofErr w:type="spellEnd"/>
      <w:r>
        <w:t xml:space="preserve"> à leur extrémité, ce qui a pu venir d’un biais de séquençage. </w:t>
      </w:r>
      <w:proofErr w:type="spellStart"/>
      <w:r>
        <w:t>FastQ</w:t>
      </w:r>
      <w:proofErr w:type="spellEnd"/>
      <w:r>
        <w:t xml:space="preserve"> </w:t>
      </w:r>
      <w:proofErr w:type="spellStart"/>
      <w:r>
        <w:t>Screen</w:t>
      </w:r>
      <w:proofErr w:type="spellEnd"/>
      <w:r>
        <w:t xml:space="preserve"> n’a pas montré de contamination avec d’autres organismes (Figure 4).</w:t>
      </w:r>
    </w:p>
    <w:p w14:paraId="3487D61B" w14:textId="77777777" w:rsidR="00AD2D2A" w:rsidRDefault="00AD2D2A" w:rsidP="00AD2D2A">
      <w:r>
        <w:t xml:space="preserve">Les résultats avaient ensuite été calculés pour différentes options de démultiplexage et de </w:t>
      </w:r>
      <w:proofErr w:type="spellStart"/>
      <w:r>
        <w:t>trimming</w:t>
      </w:r>
      <w:proofErr w:type="spellEnd"/>
      <w:r>
        <w:t xml:space="preserve"> (Tableau 2). Comme on pourrait s’y attendre, un </w:t>
      </w:r>
      <w:proofErr w:type="spellStart"/>
      <w:r>
        <w:t>trimming</w:t>
      </w:r>
      <w:proofErr w:type="spellEnd"/>
      <w:r>
        <w:t xml:space="preserve"> plus élevé donne moins de </w:t>
      </w:r>
      <w:proofErr w:type="spellStart"/>
      <w:r>
        <w:t>reads</w:t>
      </w:r>
      <w:proofErr w:type="spellEnd"/>
      <w:r>
        <w:t xml:space="preserve"> et une moindre couverture. La qualité était très similaire pour des seuils choisis entre 115 et 140. Les </w:t>
      </w:r>
      <w:proofErr w:type="spellStart"/>
      <w:r>
        <w:t>reads</w:t>
      </w:r>
      <w:proofErr w:type="spellEnd"/>
      <w:r>
        <w:t xml:space="preserve"> présentant une chaîne </w:t>
      </w:r>
      <w:proofErr w:type="spellStart"/>
      <w:r>
        <w:t>polyG</w:t>
      </w:r>
      <w:proofErr w:type="spellEnd"/>
      <w:r>
        <w:t xml:space="preserve"> ont été </w:t>
      </w:r>
      <w:proofErr w:type="spellStart"/>
      <w:r>
        <w:t>trimmés</w:t>
      </w:r>
      <w:proofErr w:type="spellEnd"/>
      <w:r>
        <w:t>, mais le résultat était sensiblement identique, ce qui a montré que la profondeur de séquençage n’est pas affectée par cet enrichissement.</w:t>
      </w:r>
    </w:p>
    <w:p w14:paraId="5A2DA5AC" w14:textId="77777777" w:rsidR="00AD2D2A" w:rsidRDefault="00AD2D2A" w:rsidP="00AD2D2A">
      <w:r w:rsidRPr="00D32A05">
        <w:t>La taille du génome</w:t>
      </w:r>
      <w:r>
        <w:t xml:space="preserve"> a été estimée à 1 994 539 846pb. L’outil </w:t>
      </w:r>
      <w:proofErr w:type="spellStart"/>
      <w:r>
        <w:t>KmerGenie</w:t>
      </w:r>
      <w:proofErr w:type="spellEnd"/>
      <w:r>
        <w:t xml:space="preserve"> a permis d’estimer la taille idéale de </w:t>
      </w:r>
      <w:proofErr w:type="spellStart"/>
      <w:r>
        <w:t>k-mer</w:t>
      </w:r>
      <w:proofErr w:type="spellEnd"/>
      <w:r>
        <w:t xml:space="preserve">, qui était 65 pour un seuil de </w:t>
      </w:r>
      <w:proofErr w:type="spellStart"/>
      <w:r>
        <w:t>trimming</w:t>
      </w:r>
      <w:proofErr w:type="spellEnd"/>
      <w:r>
        <w:t xml:space="preserve"> à 115 et 71 pour un seuil à 140 (Figure 5). La taille de l’assemblage prédite varie légèrement pour les deux seuils </w:t>
      </w:r>
      <w:r w:rsidRPr="000044EF">
        <w:t>(</w:t>
      </w:r>
      <w:r w:rsidRPr="000044EF">
        <w:rPr>
          <w:bCs/>
        </w:rPr>
        <w:t>1 977 606 166 et 1 923 969</w:t>
      </w:r>
      <w:r>
        <w:rPr>
          <w:bCs/>
        </w:rPr>
        <w:t> </w:t>
      </w:r>
      <w:r w:rsidRPr="000044EF">
        <w:rPr>
          <w:bCs/>
        </w:rPr>
        <w:t>911</w:t>
      </w:r>
      <w:r>
        <w:rPr>
          <w:bCs/>
        </w:rPr>
        <w:t>, respectivement).</w:t>
      </w:r>
    </w:p>
    <w:p w14:paraId="243990FD" w14:textId="77777777" w:rsidR="00AD2D2A" w:rsidRDefault="00AD2D2A" w:rsidP="00AD2D2A">
      <w:r>
        <w:t xml:space="preserve">Après correction des </w:t>
      </w:r>
      <w:proofErr w:type="spellStart"/>
      <w:r>
        <w:t>reads</w:t>
      </w:r>
      <w:proofErr w:type="spellEnd"/>
      <w:r>
        <w:t xml:space="preserve"> par </w:t>
      </w:r>
      <w:proofErr w:type="spellStart"/>
      <w:r>
        <w:t>Lighter</w:t>
      </w:r>
      <w:proofErr w:type="spellEnd"/>
      <w:r>
        <w:t xml:space="preserve">, les tailles optimales de </w:t>
      </w:r>
      <w:proofErr w:type="spellStart"/>
      <w:r>
        <w:t>k-mers</w:t>
      </w:r>
      <w:proofErr w:type="spellEnd"/>
      <w:r>
        <w:t xml:space="preserve"> étaient 81 pour un </w:t>
      </w:r>
      <w:proofErr w:type="spellStart"/>
      <w:r>
        <w:t>trimming</w:t>
      </w:r>
      <w:proofErr w:type="spellEnd"/>
      <w:r>
        <w:t xml:space="preserve"> à 115 et 65 pour un </w:t>
      </w:r>
      <w:proofErr w:type="spellStart"/>
      <w:r>
        <w:t>trimming</w:t>
      </w:r>
      <w:proofErr w:type="spellEnd"/>
      <w:r>
        <w:t xml:space="preserve"> à 140 (Figure 5). Les tailles d’assemblages estimées sont légèrement plus élevées que sans la correction des </w:t>
      </w:r>
      <w:proofErr w:type="spellStart"/>
      <w:r>
        <w:t>reads</w:t>
      </w:r>
      <w:proofErr w:type="spellEnd"/>
      <w:r>
        <w:t xml:space="preserve"> </w:t>
      </w:r>
      <w:r w:rsidRPr="00A50837">
        <w:t>(</w:t>
      </w:r>
      <w:r w:rsidRPr="00A50837">
        <w:rPr>
          <w:bCs/>
        </w:rPr>
        <w:t>1 995 433 827 et 2 029 521</w:t>
      </w:r>
      <w:r>
        <w:rPr>
          <w:bCs/>
        </w:rPr>
        <w:t> </w:t>
      </w:r>
      <w:r w:rsidRPr="00A50837">
        <w:rPr>
          <w:bCs/>
        </w:rPr>
        <w:t>422</w:t>
      </w:r>
      <w:r>
        <w:rPr>
          <w:bCs/>
        </w:rPr>
        <w:t>, respectivement).</w:t>
      </w:r>
    </w:p>
    <w:p w14:paraId="4F7BFF71" w14:textId="77777777" w:rsidR="00AD2D2A" w:rsidRPr="00AD2D2A" w:rsidRDefault="00AD2D2A" w:rsidP="00AD2D2A"/>
    <w:p w14:paraId="63038178" w14:textId="77777777" w:rsidR="00E54758" w:rsidRDefault="00E54758" w:rsidP="00E54758">
      <w:pPr>
        <w:pStyle w:val="Titre2"/>
      </w:pPr>
      <w:bookmarkStart w:id="22" w:name="_Toc512854531"/>
      <w:r>
        <w:t xml:space="preserve">Séquençage </w:t>
      </w:r>
      <w:proofErr w:type="spellStart"/>
      <w:r>
        <w:t>Nanopore</w:t>
      </w:r>
      <w:bookmarkEnd w:id="22"/>
      <w:proofErr w:type="spellEnd"/>
    </w:p>
    <w:p w14:paraId="188AB642" w14:textId="77777777" w:rsidR="00AD2D2A" w:rsidRDefault="00AD2D2A" w:rsidP="00AD2D2A">
      <w:pPr>
        <w:rPr>
          <w:rFonts w:ascii="Calibri" w:eastAsia="Times New Roman" w:hAnsi="Calibri"/>
          <w:color w:val="000000"/>
        </w:rPr>
      </w:pPr>
      <w:r>
        <w:t xml:space="preserve">Quatre banques ont été préparées pour le séquençage, numérotées de 2 à 5. Le nombre total de bases pour chaque banque obtenu après le </w:t>
      </w:r>
      <w:proofErr w:type="spellStart"/>
      <w:r>
        <w:t>basecalling</w:t>
      </w:r>
      <w:proofErr w:type="spellEnd"/>
      <w:r>
        <w:t xml:space="preserve">, le </w:t>
      </w:r>
      <w:proofErr w:type="spellStart"/>
      <w:r>
        <w:t>trimming</w:t>
      </w:r>
      <w:proofErr w:type="spellEnd"/>
      <w:r>
        <w:t xml:space="preserve"> et le filtre est visible sur la Table XX. Le séquençage par le </w:t>
      </w:r>
      <w:proofErr w:type="spellStart"/>
      <w:r>
        <w:t>MinION</w:t>
      </w:r>
      <w:proofErr w:type="spellEnd"/>
      <w:r>
        <w:t xml:space="preserve"> a permis d’obtenir </w:t>
      </w:r>
      <w:r w:rsidRPr="005A3919">
        <w:rPr>
          <w:rFonts w:ascii="Calibri" w:eastAsia="Times New Roman" w:hAnsi="Calibri" w:cs="Times New Roman"/>
          <w:color w:val="000000"/>
          <w:lang w:eastAsia="fr-FR"/>
        </w:rPr>
        <w:t>1 898</w:t>
      </w:r>
      <w:r>
        <w:rPr>
          <w:rFonts w:ascii="Calibri" w:eastAsia="Times New Roman" w:hAnsi="Calibri" w:cs="Times New Roman"/>
          <w:color w:val="000000"/>
          <w:lang w:eastAsia="fr-FR"/>
        </w:rPr>
        <w:t> </w:t>
      </w:r>
      <w:r w:rsidRPr="005A3919">
        <w:rPr>
          <w:rFonts w:ascii="Calibri" w:eastAsia="Times New Roman" w:hAnsi="Calibri" w:cs="Times New Roman"/>
          <w:color w:val="000000"/>
          <w:lang w:eastAsia="fr-FR"/>
        </w:rPr>
        <w:t>200</w:t>
      </w:r>
      <w:r>
        <w:rPr>
          <w:rFonts w:ascii="Calibri" w:eastAsia="Times New Roman" w:hAnsi="Calibri" w:cs="Times New Roman"/>
          <w:color w:val="000000"/>
          <w:lang w:eastAsia="fr-FR"/>
        </w:rPr>
        <w:t xml:space="preserve"> </w:t>
      </w:r>
      <w:proofErr w:type="spellStart"/>
      <w:r>
        <w:rPr>
          <w:rFonts w:ascii="Calibri" w:eastAsia="Times New Roman" w:hAnsi="Calibri" w:cs="Times New Roman"/>
          <w:color w:val="000000"/>
          <w:lang w:eastAsia="fr-FR"/>
        </w:rPr>
        <w:t>reads</w:t>
      </w:r>
      <w:proofErr w:type="spellEnd"/>
      <w:r>
        <w:rPr>
          <w:rFonts w:ascii="Calibri" w:eastAsia="Times New Roman" w:hAnsi="Calibri" w:cs="Times New Roman"/>
          <w:color w:val="000000"/>
          <w:lang w:eastAsia="fr-FR"/>
        </w:rPr>
        <w:t xml:space="preserve"> comptabilisant </w:t>
      </w:r>
      <w:r w:rsidRPr="00C1565A">
        <w:rPr>
          <w:rFonts w:ascii="Calibri" w:eastAsia="Times New Roman" w:hAnsi="Calibri" w:cs="Times New Roman"/>
          <w:color w:val="000000"/>
          <w:lang w:eastAsia="fr-FR"/>
        </w:rPr>
        <w:t>12 921 689</w:t>
      </w:r>
      <w:r>
        <w:rPr>
          <w:rFonts w:ascii="Calibri" w:eastAsia="Times New Roman" w:hAnsi="Calibri" w:cs="Times New Roman"/>
          <w:color w:val="000000"/>
          <w:lang w:eastAsia="fr-FR"/>
        </w:rPr>
        <w:t> </w:t>
      </w:r>
      <w:r w:rsidRPr="00C1565A">
        <w:rPr>
          <w:rFonts w:ascii="Calibri" w:eastAsia="Times New Roman" w:hAnsi="Calibri" w:cs="Times New Roman"/>
          <w:color w:val="000000"/>
          <w:lang w:eastAsia="fr-FR"/>
        </w:rPr>
        <w:t>433</w:t>
      </w:r>
      <w:r>
        <w:rPr>
          <w:rFonts w:ascii="Calibri" w:eastAsia="Times New Roman" w:hAnsi="Calibri" w:cs="Times New Roman"/>
          <w:color w:val="000000"/>
          <w:lang w:eastAsia="fr-FR"/>
        </w:rPr>
        <w:t xml:space="preserve">bp. Après </w:t>
      </w:r>
      <w:proofErr w:type="spellStart"/>
      <w:r>
        <w:rPr>
          <w:rFonts w:ascii="Calibri" w:eastAsia="Times New Roman" w:hAnsi="Calibri" w:cs="Times New Roman"/>
          <w:color w:val="000000"/>
          <w:lang w:eastAsia="fr-FR"/>
        </w:rPr>
        <w:t>trimming</w:t>
      </w:r>
      <w:proofErr w:type="spellEnd"/>
      <w:r>
        <w:rPr>
          <w:rFonts w:ascii="Calibri" w:eastAsia="Times New Roman" w:hAnsi="Calibri" w:cs="Times New Roman"/>
          <w:color w:val="000000"/>
          <w:lang w:eastAsia="fr-FR"/>
        </w:rPr>
        <w:t xml:space="preserve"> par </w:t>
      </w:r>
      <w:proofErr w:type="spellStart"/>
      <w:r>
        <w:rPr>
          <w:rFonts w:ascii="Calibri" w:eastAsia="Times New Roman" w:hAnsi="Calibri" w:cs="Times New Roman"/>
          <w:color w:val="000000"/>
          <w:lang w:eastAsia="fr-FR"/>
        </w:rPr>
        <w:t>Porechop</w:t>
      </w:r>
      <w:proofErr w:type="spellEnd"/>
      <w:r>
        <w:rPr>
          <w:rFonts w:ascii="Calibri" w:eastAsia="Times New Roman" w:hAnsi="Calibri" w:cs="Times New Roman"/>
          <w:color w:val="000000"/>
          <w:lang w:eastAsia="fr-FR"/>
        </w:rPr>
        <w:t xml:space="preserve">, </w:t>
      </w:r>
      <w:r w:rsidRPr="00C1565A">
        <w:rPr>
          <w:rFonts w:ascii="Calibri" w:eastAsia="Times New Roman" w:hAnsi="Calibri"/>
          <w:color w:val="000000"/>
        </w:rPr>
        <w:t>12 132 994</w:t>
      </w:r>
      <w:r>
        <w:rPr>
          <w:rFonts w:ascii="Calibri" w:eastAsia="Times New Roman" w:hAnsi="Calibri"/>
          <w:color w:val="000000"/>
        </w:rPr>
        <w:t> </w:t>
      </w:r>
      <w:r w:rsidRPr="00C1565A">
        <w:rPr>
          <w:rFonts w:ascii="Calibri" w:eastAsia="Times New Roman" w:hAnsi="Calibri"/>
          <w:color w:val="000000"/>
        </w:rPr>
        <w:t>458</w:t>
      </w:r>
      <w:r>
        <w:rPr>
          <w:rFonts w:ascii="Calibri" w:hAnsi="Calibri"/>
          <w:color w:val="000000"/>
        </w:rPr>
        <w:t xml:space="preserve"> ont étés retenues pour un nombre de </w:t>
      </w:r>
      <w:proofErr w:type="spellStart"/>
      <w:r>
        <w:rPr>
          <w:rFonts w:ascii="Calibri" w:hAnsi="Calibri"/>
          <w:color w:val="000000"/>
        </w:rPr>
        <w:t>reads</w:t>
      </w:r>
      <w:proofErr w:type="spellEnd"/>
      <w:r>
        <w:rPr>
          <w:rFonts w:ascii="Calibri" w:hAnsi="Calibri"/>
          <w:color w:val="000000"/>
        </w:rPr>
        <w:t xml:space="preserve"> sensiblement similaire (</w:t>
      </w:r>
      <w:r w:rsidRPr="00C1565A">
        <w:rPr>
          <w:rFonts w:ascii="Calibri" w:eastAsia="Times New Roman" w:hAnsi="Calibri" w:cs="Times New Roman"/>
          <w:color w:val="000000"/>
          <w:lang w:eastAsia="fr-FR"/>
        </w:rPr>
        <w:t>1 873</w:t>
      </w:r>
      <w:r>
        <w:rPr>
          <w:rFonts w:ascii="Calibri" w:eastAsia="Times New Roman" w:hAnsi="Calibri" w:cs="Times New Roman"/>
          <w:color w:val="000000"/>
          <w:lang w:eastAsia="fr-FR"/>
        </w:rPr>
        <w:t> </w:t>
      </w:r>
      <w:r w:rsidRPr="00C1565A">
        <w:rPr>
          <w:rFonts w:ascii="Calibri" w:eastAsia="Times New Roman" w:hAnsi="Calibri" w:cs="Times New Roman"/>
          <w:color w:val="000000"/>
          <w:lang w:eastAsia="fr-FR"/>
        </w:rPr>
        <w:t>102</w:t>
      </w:r>
      <w:r>
        <w:rPr>
          <w:rFonts w:ascii="Calibri" w:eastAsia="Times New Roman" w:hAnsi="Calibri" w:cs="Times New Roman"/>
          <w:color w:val="000000"/>
          <w:lang w:eastAsia="fr-FR"/>
        </w:rPr>
        <w:t xml:space="preserve">). </w:t>
      </w:r>
      <w:r w:rsidRPr="00C1565A">
        <w:rPr>
          <w:rFonts w:ascii="Calibri" w:eastAsia="Times New Roman" w:hAnsi="Calibri" w:cs="Times New Roman"/>
          <w:color w:val="000000"/>
          <w:lang w:eastAsia="fr-FR"/>
        </w:rPr>
        <w:t>1</w:t>
      </w:r>
      <w:r>
        <w:rPr>
          <w:rFonts w:ascii="Calibri" w:eastAsia="Times New Roman" w:hAnsi="Calibri" w:cs="Times New Roman"/>
          <w:color w:val="000000"/>
          <w:lang w:eastAsia="fr-FR"/>
        </w:rPr>
        <w:t xml:space="preserve"> </w:t>
      </w:r>
      <w:r w:rsidRPr="00C1565A">
        <w:rPr>
          <w:rFonts w:ascii="Calibri" w:eastAsia="Times New Roman" w:hAnsi="Calibri" w:cs="Times New Roman"/>
          <w:color w:val="000000"/>
          <w:lang w:eastAsia="fr-FR"/>
        </w:rPr>
        <w:t>756</w:t>
      </w:r>
      <w:r>
        <w:rPr>
          <w:rFonts w:ascii="Calibri" w:eastAsia="Times New Roman" w:hAnsi="Calibri" w:cs="Times New Roman"/>
          <w:color w:val="000000"/>
          <w:lang w:eastAsia="fr-FR"/>
        </w:rPr>
        <w:t> </w:t>
      </w:r>
      <w:r w:rsidRPr="00C1565A">
        <w:rPr>
          <w:rFonts w:ascii="Calibri" w:eastAsia="Times New Roman" w:hAnsi="Calibri" w:cs="Times New Roman"/>
          <w:color w:val="000000"/>
          <w:lang w:eastAsia="fr-FR"/>
        </w:rPr>
        <w:t>444</w:t>
      </w:r>
      <w:r>
        <w:rPr>
          <w:rFonts w:ascii="Calibri" w:eastAsia="Times New Roman" w:hAnsi="Calibri" w:cs="Times New Roman"/>
          <w:color w:val="000000"/>
          <w:lang w:eastAsia="fr-FR"/>
        </w:rPr>
        <w:t xml:space="preserve"> </w:t>
      </w:r>
      <w:proofErr w:type="spellStart"/>
      <w:r>
        <w:rPr>
          <w:rFonts w:ascii="Calibri" w:eastAsia="Times New Roman" w:hAnsi="Calibri" w:cs="Times New Roman"/>
          <w:color w:val="000000"/>
          <w:lang w:eastAsia="fr-FR"/>
        </w:rPr>
        <w:t>reads</w:t>
      </w:r>
      <w:proofErr w:type="spellEnd"/>
      <w:r>
        <w:rPr>
          <w:rFonts w:ascii="Calibri" w:eastAsia="Times New Roman" w:hAnsi="Calibri" w:cs="Times New Roman"/>
          <w:color w:val="000000"/>
          <w:lang w:eastAsia="fr-FR"/>
        </w:rPr>
        <w:t xml:space="preserve"> ont été </w:t>
      </w:r>
      <w:proofErr w:type="spellStart"/>
      <w:r>
        <w:rPr>
          <w:rFonts w:ascii="Calibri" w:eastAsia="Times New Roman" w:hAnsi="Calibri" w:cs="Times New Roman"/>
          <w:color w:val="000000"/>
          <w:lang w:eastAsia="fr-FR"/>
        </w:rPr>
        <w:t>séléctionnés</w:t>
      </w:r>
      <w:proofErr w:type="spellEnd"/>
      <w:r>
        <w:rPr>
          <w:rFonts w:ascii="Calibri" w:eastAsia="Times New Roman" w:hAnsi="Calibri" w:cs="Times New Roman"/>
          <w:color w:val="000000"/>
          <w:lang w:eastAsia="fr-FR"/>
        </w:rPr>
        <w:t xml:space="preserve"> par </w:t>
      </w:r>
      <w:proofErr w:type="spellStart"/>
      <w:r>
        <w:rPr>
          <w:rFonts w:ascii="Calibri" w:eastAsia="Times New Roman" w:hAnsi="Calibri" w:cs="Times New Roman"/>
          <w:color w:val="000000"/>
          <w:lang w:eastAsia="fr-FR"/>
        </w:rPr>
        <w:t>Filtlong</w:t>
      </w:r>
      <w:proofErr w:type="spellEnd"/>
      <w:r>
        <w:rPr>
          <w:rFonts w:ascii="Calibri" w:eastAsia="Times New Roman" w:hAnsi="Calibri" w:cs="Times New Roman"/>
          <w:color w:val="000000"/>
          <w:lang w:eastAsia="fr-FR"/>
        </w:rPr>
        <w:t xml:space="preserve">, pour un total de </w:t>
      </w:r>
      <w:r w:rsidRPr="00C1565A">
        <w:rPr>
          <w:rFonts w:ascii="Calibri" w:eastAsia="Times New Roman" w:hAnsi="Calibri"/>
          <w:color w:val="000000"/>
        </w:rPr>
        <w:t>12 119 501</w:t>
      </w:r>
      <w:r>
        <w:rPr>
          <w:rFonts w:ascii="Calibri" w:eastAsia="Times New Roman" w:hAnsi="Calibri"/>
          <w:color w:val="000000"/>
        </w:rPr>
        <w:t> </w:t>
      </w:r>
      <w:r w:rsidRPr="00C1565A">
        <w:rPr>
          <w:rFonts w:ascii="Calibri" w:eastAsia="Times New Roman" w:hAnsi="Calibri"/>
          <w:color w:val="000000"/>
        </w:rPr>
        <w:t>988</w:t>
      </w:r>
      <w:r>
        <w:rPr>
          <w:rFonts w:ascii="Calibri" w:eastAsia="Times New Roman" w:hAnsi="Calibri"/>
          <w:color w:val="000000"/>
        </w:rPr>
        <w:t xml:space="preserve"> </w:t>
      </w:r>
      <w:proofErr w:type="spellStart"/>
      <w:r>
        <w:rPr>
          <w:rFonts w:ascii="Calibri" w:eastAsia="Times New Roman" w:hAnsi="Calibri"/>
          <w:color w:val="000000"/>
        </w:rPr>
        <w:t>bp</w:t>
      </w:r>
      <w:proofErr w:type="spellEnd"/>
      <w:r>
        <w:rPr>
          <w:rFonts w:ascii="Calibri" w:eastAsia="Times New Roman" w:hAnsi="Calibri"/>
          <w:color w:val="000000"/>
        </w:rPr>
        <w:t xml:space="preserve">. La taille du génome ayant précédemment été estimée à 2Gb, la couverture obtenue pour les long </w:t>
      </w:r>
      <w:proofErr w:type="spellStart"/>
      <w:r>
        <w:rPr>
          <w:rFonts w:ascii="Calibri" w:eastAsia="Times New Roman" w:hAnsi="Calibri"/>
          <w:color w:val="000000"/>
        </w:rPr>
        <w:t>reads</w:t>
      </w:r>
      <w:proofErr w:type="spellEnd"/>
      <w:r>
        <w:rPr>
          <w:rFonts w:ascii="Calibri" w:eastAsia="Times New Roman" w:hAnsi="Calibri"/>
          <w:color w:val="000000"/>
        </w:rPr>
        <w:t xml:space="preserve"> est 6X.</w:t>
      </w:r>
    </w:p>
    <w:p w14:paraId="1C7EB767" w14:textId="77777777" w:rsidR="00AD2D2A" w:rsidRDefault="00AD2D2A" w:rsidP="00AD2D2A">
      <w:pPr>
        <w:pStyle w:val="Paragraphedeliste"/>
        <w:numPr>
          <w:ilvl w:val="0"/>
          <w:numId w:val="6"/>
        </w:numPr>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Stats</w:t>
      </w:r>
      <w:proofErr w:type="spellEnd"/>
      <w:r>
        <w:rPr>
          <w:rFonts w:ascii="Calibri" w:eastAsia="Times New Roman" w:hAnsi="Calibri" w:cs="Times New Roman"/>
          <w:color w:val="000000"/>
          <w:lang w:eastAsia="fr-FR"/>
        </w:rPr>
        <w:t xml:space="preserve"> sur </w:t>
      </w:r>
      <w:proofErr w:type="spellStart"/>
      <w:r>
        <w:rPr>
          <w:rFonts w:ascii="Calibri" w:eastAsia="Times New Roman" w:hAnsi="Calibri" w:cs="Times New Roman"/>
          <w:color w:val="000000"/>
          <w:lang w:eastAsia="fr-FR"/>
        </w:rPr>
        <w:t>Filtlong</w:t>
      </w:r>
      <w:proofErr w:type="spellEnd"/>
    </w:p>
    <w:p w14:paraId="444EB173" w14:textId="77777777" w:rsidR="00AD2D2A" w:rsidRDefault="00AD2D2A" w:rsidP="00AD2D2A">
      <w:pPr>
        <w:pStyle w:val="Paragraphedeliste"/>
        <w:numPr>
          <w:ilvl w:val="0"/>
          <w:numId w:val="6"/>
        </w:num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Correction des </w:t>
      </w:r>
      <w:proofErr w:type="spellStart"/>
      <w:r>
        <w:rPr>
          <w:rFonts w:ascii="Calibri" w:eastAsia="Times New Roman" w:hAnsi="Calibri" w:cs="Times New Roman"/>
          <w:color w:val="000000"/>
          <w:lang w:eastAsia="fr-FR"/>
        </w:rPr>
        <w:t>reads</w:t>
      </w:r>
      <w:proofErr w:type="spellEnd"/>
    </w:p>
    <w:p w14:paraId="19FA6A1D" w14:textId="77777777" w:rsidR="00AD2D2A" w:rsidRPr="00AD2D2A" w:rsidRDefault="00AD2D2A" w:rsidP="00AD2D2A"/>
    <w:p w14:paraId="36C58C23" w14:textId="77777777" w:rsidR="00E54758" w:rsidRPr="00E54758" w:rsidRDefault="00E54758" w:rsidP="00E54758">
      <w:pPr>
        <w:pStyle w:val="Titre2"/>
      </w:pPr>
      <w:bookmarkStart w:id="23" w:name="_Toc512854532"/>
      <w:r>
        <w:t>Assemblage hybride</w:t>
      </w:r>
      <w:bookmarkEnd w:id="23"/>
    </w:p>
    <w:p w14:paraId="539DFDFE" w14:textId="77777777" w:rsidR="00FE7CA7" w:rsidRDefault="00FE7CA7" w:rsidP="00FE7CA7"/>
    <w:p w14:paraId="22E55E3E" w14:textId="539945FF" w:rsidR="002F6302" w:rsidRDefault="00FE7CA7" w:rsidP="002F6302">
      <w:pPr>
        <w:pStyle w:val="Titre1"/>
      </w:pPr>
      <w:bookmarkStart w:id="24" w:name="_Toc512854533"/>
      <w:r>
        <w:lastRenderedPageBreak/>
        <w:t>Discussion</w:t>
      </w:r>
      <w:bookmarkEnd w:id="24"/>
    </w:p>
    <w:p w14:paraId="305BB9F6" w14:textId="052F29BE" w:rsidR="002F6302" w:rsidRDefault="002F6302" w:rsidP="002F6302"/>
    <w:p w14:paraId="72E87D68" w14:textId="12E04A9E" w:rsidR="002F6302" w:rsidRDefault="002F6302" w:rsidP="002F6302">
      <w:pPr>
        <w:pStyle w:val="Titre1"/>
      </w:pPr>
      <w:bookmarkStart w:id="25" w:name="_Toc512854534"/>
      <w:r>
        <w:t>Bibliographie</w:t>
      </w:r>
      <w:bookmarkEnd w:id="25"/>
    </w:p>
    <w:p w14:paraId="4BC3B75D" w14:textId="77777777" w:rsidR="00B5287A" w:rsidRPr="00B5287A" w:rsidRDefault="002F6302" w:rsidP="00B5287A">
      <w:pPr>
        <w:pStyle w:val="Bibliographie"/>
        <w:rPr>
          <w:rFonts w:ascii="Calibri" w:hAnsi="Calibri"/>
          <w:lang w:val="en-US"/>
        </w:rPr>
      </w:pPr>
      <w:r>
        <w:rPr>
          <w:rFonts w:ascii="Calibri" w:hAnsi="Calibri"/>
          <w:lang w:val="en-US"/>
        </w:rPr>
        <w:fldChar w:fldCharType="begin"/>
      </w:r>
      <w:r>
        <w:rPr>
          <w:rFonts w:ascii="Calibri" w:hAnsi="Calibri"/>
          <w:lang w:val="en-US"/>
        </w:rPr>
        <w:instrText xml:space="preserve"> ADDIN ZOTERO_BIBL {"uncited":[],"omitted":[],"custom":[]} CSL_BIBLIOGRAPHY </w:instrText>
      </w:r>
      <w:r>
        <w:rPr>
          <w:rFonts w:ascii="Calibri" w:hAnsi="Calibri"/>
          <w:lang w:val="en-US"/>
        </w:rPr>
        <w:fldChar w:fldCharType="separate"/>
      </w:r>
      <w:r w:rsidR="00B5287A" w:rsidRPr="00B5287A">
        <w:rPr>
          <w:rFonts w:ascii="Calibri" w:hAnsi="Calibri"/>
          <w:lang w:val="en-US"/>
        </w:rPr>
        <w:t>1.</w:t>
      </w:r>
      <w:r w:rsidR="00B5287A" w:rsidRPr="00B5287A">
        <w:rPr>
          <w:rFonts w:ascii="Calibri" w:hAnsi="Calibri"/>
          <w:lang w:val="en-US"/>
        </w:rPr>
        <w:tab/>
        <w:t xml:space="preserve">Chua, K. B. Nipah Virus: A Recently Emergent Deadly Paramyxovirus. </w:t>
      </w:r>
      <w:r w:rsidR="00B5287A" w:rsidRPr="00B5287A">
        <w:rPr>
          <w:rFonts w:ascii="Calibri" w:hAnsi="Calibri"/>
          <w:i/>
          <w:iCs/>
          <w:lang w:val="en-US"/>
        </w:rPr>
        <w:t>Science</w:t>
      </w:r>
      <w:r w:rsidR="00B5287A" w:rsidRPr="00B5287A">
        <w:rPr>
          <w:rFonts w:ascii="Calibri" w:hAnsi="Calibri"/>
          <w:lang w:val="en-US"/>
        </w:rPr>
        <w:t xml:space="preserve"> </w:t>
      </w:r>
      <w:r w:rsidR="00B5287A" w:rsidRPr="00B5287A">
        <w:rPr>
          <w:rFonts w:ascii="Calibri" w:hAnsi="Calibri"/>
          <w:b/>
          <w:bCs/>
          <w:lang w:val="en-US"/>
        </w:rPr>
        <w:t>288,</w:t>
      </w:r>
      <w:r w:rsidR="00B5287A" w:rsidRPr="00B5287A">
        <w:rPr>
          <w:rFonts w:ascii="Calibri" w:hAnsi="Calibri"/>
          <w:lang w:val="en-US"/>
        </w:rPr>
        <w:t xml:space="preserve"> 1432–1435 (2000).</w:t>
      </w:r>
    </w:p>
    <w:p w14:paraId="2E5E5A6E" w14:textId="77777777" w:rsidR="00B5287A" w:rsidRPr="00B5287A" w:rsidRDefault="00B5287A" w:rsidP="00B5287A">
      <w:pPr>
        <w:pStyle w:val="Bibliographie"/>
        <w:rPr>
          <w:rFonts w:ascii="Calibri" w:hAnsi="Calibri"/>
          <w:lang w:val="en-US"/>
        </w:rPr>
      </w:pPr>
      <w:r w:rsidRPr="00B5287A">
        <w:rPr>
          <w:rFonts w:ascii="Calibri" w:hAnsi="Calibri"/>
          <w:lang w:val="en-US"/>
        </w:rPr>
        <w:t>2.</w:t>
      </w:r>
      <w:r w:rsidRPr="00B5287A">
        <w:rPr>
          <w:rFonts w:ascii="Calibri" w:hAnsi="Calibri"/>
          <w:lang w:val="en-US"/>
        </w:rPr>
        <w:tab/>
        <w:t xml:space="preserve">Marsh, G. A. &amp; Wang, L.-F. Hendra and Nipah viruses: why are they so deadly? </w:t>
      </w:r>
      <w:r w:rsidRPr="00B5287A">
        <w:rPr>
          <w:rFonts w:ascii="Calibri" w:hAnsi="Calibri"/>
          <w:i/>
          <w:iCs/>
          <w:lang w:val="en-US"/>
        </w:rPr>
        <w:t>Curr. Opin. Virol.</w:t>
      </w:r>
      <w:r w:rsidRPr="00B5287A">
        <w:rPr>
          <w:rFonts w:ascii="Calibri" w:hAnsi="Calibri"/>
          <w:lang w:val="en-US"/>
        </w:rPr>
        <w:t xml:space="preserve"> </w:t>
      </w:r>
      <w:r w:rsidRPr="00B5287A">
        <w:rPr>
          <w:rFonts w:ascii="Calibri" w:hAnsi="Calibri"/>
          <w:b/>
          <w:bCs/>
          <w:lang w:val="en-US"/>
        </w:rPr>
        <w:t>2,</w:t>
      </w:r>
      <w:r w:rsidRPr="00B5287A">
        <w:rPr>
          <w:rFonts w:ascii="Calibri" w:hAnsi="Calibri"/>
          <w:lang w:val="en-US"/>
        </w:rPr>
        <w:t xml:space="preserve"> 242–247 (2012).</w:t>
      </w:r>
    </w:p>
    <w:p w14:paraId="74BFFA29" w14:textId="77777777" w:rsidR="00B5287A" w:rsidRPr="00B5287A" w:rsidRDefault="00B5287A" w:rsidP="00B5287A">
      <w:pPr>
        <w:pStyle w:val="Bibliographie"/>
        <w:rPr>
          <w:rFonts w:ascii="Calibri" w:hAnsi="Calibri"/>
          <w:lang w:val="en-US"/>
        </w:rPr>
      </w:pPr>
      <w:r w:rsidRPr="00B5287A">
        <w:rPr>
          <w:rFonts w:ascii="Calibri" w:hAnsi="Calibri"/>
          <w:lang w:val="en-US"/>
        </w:rPr>
        <w:t>3.</w:t>
      </w:r>
      <w:r w:rsidRPr="00B5287A">
        <w:rPr>
          <w:rFonts w:ascii="Calibri" w:hAnsi="Calibri"/>
          <w:lang w:val="en-US"/>
        </w:rPr>
        <w:tab/>
        <w:t>Andrews, S. Babraham Bioinformatics - FastQC A Quality Control tool for High Throughput Sequence Data. Available at: https://www.bioinformatics.babraham.ac.uk/projects/fastqc/. (Accessed: 30th April 2018)</w:t>
      </w:r>
    </w:p>
    <w:p w14:paraId="03ECECB0" w14:textId="77777777" w:rsidR="00B5287A" w:rsidRPr="00B5287A" w:rsidRDefault="00B5287A" w:rsidP="00B5287A">
      <w:pPr>
        <w:pStyle w:val="Bibliographie"/>
        <w:rPr>
          <w:rFonts w:ascii="Calibri" w:hAnsi="Calibri"/>
          <w:lang w:val="en-US"/>
        </w:rPr>
      </w:pPr>
      <w:r w:rsidRPr="00B5287A">
        <w:rPr>
          <w:rFonts w:ascii="Calibri" w:hAnsi="Calibri"/>
          <w:lang w:val="en-US"/>
        </w:rPr>
        <w:t>4.</w:t>
      </w:r>
      <w:r w:rsidRPr="00B5287A">
        <w:rPr>
          <w:rFonts w:ascii="Calibri" w:hAnsi="Calibri"/>
          <w:lang w:val="en-US"/>
        </w:rPr>
        <w:tab/>
        <w:t xml:space="preserve">Martin, M. Cutadapt removes adapter sequences from high-throughput sequencing reads. </w:t>
      </w:r>
      <w:r w:rsidRPr="00B5287A">
        <w:rPr>
          <w:rFonts w:ascii="Calibri" w:hAnsi="Calibri"/>
          <w:i/>
          <w:iCs/>
          <w:lang w:val="en-US"/>
        </w:rPr>
        <w:t>EMBnet.journal</w:t>
      </w:r>
      <w:r w:rsidRPr="00B5287A">
        <w:rPr>
          <w:rFonts w:ascii="Calibri" w:hAnsi="Calibri"/>
          <w:lang w:val="en-US"/>
        </w:rPr>
        <w:t xml:space="preserve"> </w:t>
      </w:r>
      <w:r w:rsidRPr="00B5287A">
        <w:rPr>
          <w:rFonts w:ascii="Calibri" w:hAnsi="Calibri"/>
          <w:b/>
          <w:bCs/>
          <w:lang w:val="en-US"/>
        </w:rPr>
        <w:t>17,</w:t>
      </w:r>
      <w:r w:rsidRPr="00B5287A">
        <w:rPr>
          <w:rFonts w:ascii="Calibri" w:hAnsi="Calibri"/>
          <w:lang w:val="en-US"/>
        </w:rPr>
        <w:t xml:space="preserve"> 10 (2011).</w:t>
      </w:r>
    </w:p>
    <w:p w14:paraId="3340BDBB" w14:textId="77777777" w:rsidR="00B5287A" w:rsidRPr="00B5287A" w:rsidRDefault="00B5287A" w:rsidP="00B5287A">
      <w:pPr>
        <w:pStyle w:val="Bibliographie"/>
        <w:rPr>
          <w:rFonts w:ascii="Calibri" w:hAnsi="Calibri"/>
          <w:lang w:val="en-US"/>
        </w:rPr>
      </w:pPr>
      <w:r w:rsidRPr="00B5287A">
        <w:rPr>
          <w:rFonts w:ascii="Calibri" w:hAnsi="Calibri"/>
          <w:lang w:val="en-US"/>
        </w:rPr>
        <w:t>5.</w:t>
      </w:r>
      <w:r w:rsidRPr="00B5287A">
        <w:rPr>
          <w:rFonts w:ascii="Calibri" w:hAnsi="Calibri"/>
          <w:lang w:val="en-US"/>
        </w:rPr>
        <w:tab/>
        <w:t>Wingett, S. Babraham Bioinformatics - FastQ Screen. Available at: https://www.bioinformatics.babraham.ac.uk/projects/fastq_screen/. (Accessed: 30th April 2018)</w:t>
      </w:r>
    </w:p>
    <w:p w14:paraId="55BB85B3" w14:textId="77777777" w:rsidR="00B5287A" w:rsidRPr="00B5287A" w:rsidRDefault="00B5287A" w:rsidP="00B5287A">
      <w:pPr>
        <w:pStyle w:val="Bibliographie"/>
        <w:rPr>
          <w:rFonts w:ascii="Calibri" w:hAnsi="Calibri"/>
          <w:lang w:val="en-US"/>
        </w:rPr>
      </w:pPr>
      <w:r w:rsidRPr="00B5287A">
        <w:rPr>
          <w:rFonts w:ascii="Calibri" w:hAnsi="Calibri"/>
          <w:lang w:val="en-US"/>
        </w:rPr>
        <w:t>6.</w:t>
      </w:r>
      <w:r w:rsidRPr="00B5287A">
        <w:rPr>
          <w:rFonts w:ascii="Calibri" w:hAnsi="Calibri"/>
          <w:lang w:val="en-US"/>
        </w:rPr>
        <w:tab/>
        <w:t xml:space="preserve">Chikhi, R. &amp; Medvedev, P. Informed and automated k-mer size selection for genome assembly. </w:t>
      </w:r>
      <w:r w:rsidRPr="00B5287A">
        <w:rPr>
          <w:rFonts w:ascii="Calibri" w:hAnsi="Calibri"/>
          <w:i/>
          <w:iCs/>
          <w:lang w:val="en-US"/>
        </w:rPr>
        <w:t>Bioinformatics</w:t>
      </w:r>
      <w:r w:rsidRPr="00B5287A">
        <w:rPr>
          <w:rFonts w:ascii="Calibri" w:hAnsi="Calibri"/>
          <w:lang w:val="en-US"/>
        </w:rPr>
        <w:t xml:space="preserve"> </w:t>
      </w:r>
      <w:r w:rsidRPr="00B5287A">
        <w:rPr>
          <w:rFonts w:ascii="Calibri" w:hAnsi="Calibri"/>
          <w:b/>
          <w:bCs/>
          <w:lang w:val="en-US"/>
        </w:rPr>
        <w:t>30,</w:t>
      </w:r>
      <w:r w:rsidRPr="00B5287A">
        <w:rPr>
          <w:rFonts w:ascii="Calibri" w:hAnsi="Calibri"/>
          <w:lang w:val="en-US"/>
        </w:rPr>
        <w:t xml:space="preserve"> 31–37 (2014).</w:t>
      </w:r>
    </w:p>
    <w:p w14:paraId="16050AE8" w14:textId="77777777" w:rsidR="00B5287A" w:rsidRPr="00B5287A" w:rsidRDefault="00B5287A" w:rsidP="00B5287A">
      <w:pPr>
        <w:pStyle w:val="Bibliographie"/>
        <w:rPr>
          <w:rFonts w:ascii="Calibri" w:hAnsi="Calibri"/>
          <w:lang w:val="en-US"/>
        </w:rPr>
      </w:pPr>
      <w:r w:rsidRPr="00B5287A">
        <w:rPr>
          <w:rFonts w:ascii="Calibri" w:hAnsi="Calibri"/>
          <w:lang w:val="en-US"/>
        </w:rPr>
        <w:t>7.</w:t>
      </w:r>
      <w:r w:rsidRPr="00B5287A">
        <w:rPr>
          <w:rFonts w:ascii="Calibri" w:hAnsi="Calibri"/>
          <w:lang w:val="en-US"/>
        </w:rPr>
        <w:tab/>
        <w:t xml:space="preserve">Song, L., Florea, L. &amp; Langmead, B. Lighter: fast and memory-efficient sequencing error correction without counting. </w:t>
      </w:r>
      <w:r w:rsidRPr="00B5287A">
        <w:rPr>
          <w:rFonts w:ascii="Calibri" w:hAnsi="Calibri"/>
          <w:i/>
          <w:iCs/>
          <w:lang w:val="en-US"/>
        </w:rPr>
        <w:t>Genome Biol.</w:t>
      </w:r>
      <w:r w:rsidRPr="00B5287A">
        <w:rPr>
          <w:rFonts w:ascii="Calibri" w:hAnsi="Calibri"/>
          <w:lang w:val="en-US"/>
        </w:rPr>
        <w:t xml:space="preserve"> </w:t>
      </w:r>
      <w:r w:rsidRPr="00B5287A">
        <w:rPr>
          <w:rFonts w:ascii="Calibri" w:hAnsi="Calibri"/>
          <w:b/>
          <w:bCs/>
          <w:lang w:val="en-US"/>
        </w:rPr>
        <w:t>15,</w:t>
      </w:r>
      <w:r w:rsidRPr="00B5287A">
        <w:rPr>
          <w:rFonts w:ascii="Calibri" w:hAnsi="Calibri"/>
          <w:lang w:val="en-US"/>
        </w:rPr>
        <w:t xml:space="preserve"> (2014).</w:t>
      </w:r>
    </w:p>
    <w:p w14:paraId="5A8028D1" w14:textId="77777777" w:rsidR="00B5287A" w:rsidRPr="00B5287A" w:rsidRDefault="00B5287A" w:rsidP="00B5287A">
      <w:pPr>
        <w:pStyle w:val="Bibliographie"/>
        <w:rPr>
          <w:rFonts w:ascii="Calibri" w:hAnsi="Calibri"/>
          <w:lang w:val="en-US"/>
        </w:rPr>
      </w:pPr>
      <w:r w:rsidRPr="00B5287A">
        <w:rPr>
          <w:rFonts w:ascii="Calibri" w:hAnsi="Calibri"/>
          <w:lang w:val="en-US"/>
        </w:rPr>
        <w:t>8.</w:t>
      </w:r>
      <w:r w:rsidRPr="00B5287A">
        <w:rPr>
          <w:rFonts w:ascii="Calibri" w:hAnsi="Calibri"/>
          <w:lang w:val="en-US"/>
        </w:rPr>
        <w:tab/>
        <w:t xml:space="preserve">Wick, R., Judd, L. M. &amp; Holt, K. E. </w:t>
      </w:r>
      <w:r w:rsidRPr="00B5287A">
        <w:rPr>
          <w:rFonts w:ascii="Calibri" w:hAnsi="Calibri"/>
          <w:i/>
          <w:iCs/>
          <w:lang w:val="en-US"/>
        </w:rPr>
        <w:t>Comparison Of Oxford Nanopore Basecalling Tools</w:t>
      </w:r>
      <w:r w:rsidRPr="00B5287A">
        <w:rPr>
          <w:rFonts w:ascii="Calibri" w:hAnsi="Calibri"/>
          <w:lang w:val="en-US"/>
        </w:rPr>
        <w:t>. (Zenodo, 2018). doi:10.5281/zenodo.1188469</w:t>
      </w:r>
    </w:p>
    <w:p w14:paraId="01AABF28" w14:textId="77777777" w:rsidR="00B5287A" w:rsidRPr="00B5287A" w:rsidRDefault="00B5287A" w:rsidP="00B5287A">
      <w:pPr>
        <w:pStyle w:val="Bibliographie"/>
        <w:rPr>
          <w:rFonts w:ascii="Calibri" w:hAnsi="Calibri"/>
          <w:lang w:val="en-US"/>
        </w:rPr>
      </w:pPr>
      <w:r w:rsidRPr="00B5287A">
        <w:rPr>
          <w:rFonts w:ascii="Calibri" w:hAnsi="Calibri"/>
          <w:lang w:val="en-US"/>
        </w:rPr>
        <w:t>9.</w:t>
      </w:r>
      <w:r w:rsidRPr="00B5287A">
        <w:rPr>
          <w:rFonts w:ascii="Calibri" w:hAnsi="Calibri"/>
          <w:lang w:val="en-US"/>
        </w:rPr>
        <w:tab/>
        <w:t xml:space="preserve">Bankevich, A. </w:t>
      </w:r>
      <w:r w:rsidRPr="00B5287A">
        <w:rPr>
          <w:rFonts w:ascii="Calibri" w:hAnsi="Calibri"/>
          <w:i/>
          <w:iCs/>
          <w:lang w:val="en-US"/>
        </w:rPr>
        <w:t>et al.</w:t>
      </w:r>
      <w:r w:rsidRPr="00B5287A">
        <w:rPr>
          <w:rFonts w:ascii="Calibri" w:hAnsi="Calibri"/>
          <w:lang w:val="en-US"/>
        </w:rPr>
        <w:t xml:space="preserve"> SPAdes: A New Genome Assembly Algorithm and Its Applications to Single-Cell Sequencing. </w:t>
      </w:r>
      <w:r w:rsidRPr="00B5287A">
        <w:rPr>
          <w:rFonts w:ascii="Calibri" w:hAnsi="Calibri"/>
          <w:i/>
          <w:iCs/>
          <w:lang w:val="en-US"/>
        </w:rPr>
        <w:t>J. Comput. Biol.</w:t>
      </w:r>
      <w:r w:rsidRPr="00B5287A">
        <w:rPr>
          <w:rFonts w:ascii="Calibri" w:hAnsi="Calibri"/>
          <w:lang w:val="en-US"/>
        </w:rPr>
        <w:t xml:space="preserve"> </w:t>
      </w:r>
      <w:r w:rsidRPr="00B5287A">
        <w:rPr>
          <w:rFonts w:ascii="Calibri" w:hAnsi="Calibri"/>
          <w:b/>
          <w:bCs/>
          <w:lang w:val="en-US"/>
        </w:rPr>
        <w:t>19,</w:t>
      </w:r>
      <w:r w:rsidRPr="00B5287A">
        <w:rPr>
          <w:rFonts w:ascii="Calibri" w:hAnsi="Calibri"/>
          <w:lang w:val="en-US"/>
        </w:rPr>
        <w:t xml:space="preserve"> 455–477 (2012).</w:t>
      </w:r>
    </w:p>
    <w:p w14:paraId="0E742439" w14:textId="77777777" w:rsidR="00B5287A" w:rsidRPr="00B5287A" w:rsidRDefault="00B5287A" w:rsidP="00B5287A">
      <w:pPr>
        <w:pStyle w:val="Bibliographie"/>
        <w:rPr>
          <w:rFonts w:ascii="Calibri" w:hAnsi="Calibri"/>
        </w:rPr>
      </w:pPr>
      <w:r w:rsidRPr="00B5287A">
        <w:rPr>
          <w:rFonts w:ascii="Calibri" w:hAnsi="Calibri"/>
          <w:lang w:val="en-US"/>
        </w:rPr>
        <w:t>10.</w:t>
      </w:r>
      <w:r w:rsidRPr="00B5287A">
        <w:rPr>
          <w:rFonts w:ascii="Calibri" w:hAnsi="Calibri"/>
          <w:lang w:val="en-US"/>
        </w:rPr>
        <w:tab/>
        <w:t xml:space="preserve">Zimin, A. V. </w:t>
      </w:r>
      <w:r w:rsidRPr="00B5287A">
        <w:rPr>
          <w:rFonts w:ascii="Calibri" w:hAnsi="Calibri"/>
          <w:i/>
          <w:iCs/>
          <w:lang w:val="en-US"/>
        </w:rPr>
        <w:t>et al.</w:t>
      </w:r>
      <w:r w:rsidRPr="00B5287A">
        <w:rPr>
          <w:rFonts w:ascii="Calibri" w:hAnsi="Calibri"/>
          <w:lang w:val="en-US"/>
        </w:rPr>
        <w:t xml:space="preserve"> The MaSuRCA genome assembler. </w:t>
      </w:r>
      <w:proofErr w:type="spellStart"/>
      <w:r w:rsidRPr="00B5287A">
        <w:rPr>
          <w:rFonts w:ascii="Calibri" w:hAnsi="Calibri"/>
          <w:i/>
          <w:iCs/>
        </w:rPr>
        <w:t>Bioinformatics</w:t>
      </w:r>
      <w:proofErr w:type="spellEnd"/>
      <w:r w:rsidRPr="00B5287A">
        <w:rPr>
          <w:rFonts w:ascii="Calibri" w:hAnsi="Calibri"/>
        </w:rPr>
        <w:t xml:space="preserve"> </w:t>
      </w:r>
      <w:r w:rsidRPr="00B5287A">
        <w:rPr>
          <w:rFonts w:ascii="Calibri" w:hAnsi="Calibri"/>
          <w:b/>
          <w:bCs/>
        </w:rPr>
        <w:t>29,</w:t>
      </w:r>
      <w:r w:rsidRPr="00B5287A">
        <w:rPr>
          <w:rFonts w:ascii="Calibri" w:hAnsi="Calibri"/>
        </w:rPr>
        <w:t xml:space="preserve"> 2669–2677 (2013).</w:t>
      </w:r>
    </w:p>
    <w:p w14:paraId="189E4526" w14:textId="77777777" w:rsidR="00B5287A" w:rsidRPr="00B5287A" w:rsidRDefault="00B5287A" w:rsidP="00B5287A">
      <w:pPr>
        <w:pStyle w:val="Bibliographie"/>
        <w:rPr>
          <w:rFonts w:ascii="Calibri" w:hAnsi="Calibri"/>
          <w:lang w:val="en-US"/>
        </w:rPr>
      </w:pPr>
      <w:r w:rsidRPr="00B5287A">
        <w:rPr>
          <w:rFonts w:ascii="Calibri" w:hAnsi="Calibri"/>
        </w:rPr>
        <w:t>11.</w:t>
      </w:r>
      <w:r w:rsidRPr="00B5287A">
        <w:rPr>
          <w:rFonts w:ascii="Calibri" w:hAnsi="Calibri"/>
        </w:rPr>
        <w:tab/>
        <w:t xml:space="preserve">Cao, M. D. </w:t>
      </w:r>
      <w:r w:rsidRPr="00B5287A">
        <w:rPr>
          <w:rFonts w:ascii="Calibri" w:hAnsi="Calibri"/>
          <w:i/>
          <w:iCs/>
        </w:rPr>
        <w:t>et al.</w:t>
      </w:r>
      <w:r w:rsidRPr="00B5287A">
        <w:rPr>
          <w:rFonts w:ascii="Calibri" w:hAnsi="Calibri"/>
        </w:rPr>
        <w:t xml:space="preserve"> </w:t>
      </w:r>
      <w:r w:rsidRPr="00B5287A">
        <w:rPr>
          <w:rFonts w:ascii="Calibri" w:hAnsi="Calibri"/>
          <w:lang w:val="en-US"/>
        </w:rPr>
        <w:t xml:space="preserve">Scaffolding and completing genome assemblies in real-time with nanopore sequencing. </w:t>
      </w:r>
      <w:r w:rsidRPr="00B5287A">
        <w:rPr>
          <w:rFonts w:ascii="Calibri" w:hAnsi="Calibri"/>
          <w:i/>
          <w:iCs/>
          <w:lang w:val="en-US"/>
        </w:rPr>
        <w:t>Nat. Commun.</w:t>
      </w:r>
      <w:r w:rsidRPr="00B5287A">
        <w:rPr>
          <w:rFonts w:ascii="Calibri" w:hAnsi="Calibri"/>
          <w:lang w:val="en-US"/>
        </w:rPr>
        <w:t xml:space="preserve"> </w:t>
      </w:r>
      <w:r w:rsidRPr="00B5287A">
        <w:rPr>
          <w:rFonts w:ascii="Calibri" w:hAnsi="Calibri"/>
          <w:b/>
          <w:bCs/>
          <w:lang w:val="en-US"/>
        </w:rPr>
        <w:t>8,</w:t>
      </w:r>
      <w:r w:rsidRPr="00B5287A">
        <w:rPr>
          <w:rFonts w:ascii="Calibri" w:hAnsi="Calibri"/>
          <w:lang w:val="en-US"/>
        </w:rPr>
        <w:t xml:space="preserve"> 14515 (2017).</w:t>
      </w:r>
    </w:p>
    <w:p w14:paraId="0ACF9441" w14:textId="77777777" w:rsidR="00B5287A" w:rsidRPr="00B5287A" w:rsidRDefault="00B5287A" w:rsidP="00B5287A">
      <w:pPr>
        <w:pStyle w:val="Bibliographie"/>
        <w:rPr>
          <w:rFonts w:ascii="Calibri" w:hAnsi="Calibri"/>
          <w:lang w:val="en-US"/>
        </w:rPr>
      </w:pPr>
      <w:r w:rsidRPr="00B5287A">
        <w:rPr>
          <w:rFonts w:ascii="Calibri" w:hAnsi="Calibri"/>
          <w:lang w:val="en-US"/>
        </w:rPr>
        <w:t>12.</w:t>
      </w:r>
      <w:r w:rsidRPr="00B5287A">
        <w:rPr>
          <w:rFonts w:ascii="Calibri" w:hAnsi="Calibri"/>
          <w:lang w:val="en-US"/>
        </w:rPr>
        <w:tab/>
        <w:t xml:space="preserve">Faino, L. </w:t>
      </w:r>
      <w:r w:rsidRPr="00B5287A">
        <w:rPr>
          <w:rFonts w:ascii="Calibri" w:hAnsi="Calibri"/>
          <w:i/>
          <w:iCs/>
          <w:lang w:val="en-US"/>
        </w:rPr>
        <w:t>et al.</w:t>
      </w:r>
      <w:r w:rsidRPr="00B5287A">
        <w:rPr>
          <w:rFonts w:ascii="Calibri" w:hAnsi="Calibri"/>
          <w:lang w:val="en-US"/>
        </w:rPr>
        <w:t xml:space="preserve"> Single-Molecule Real-Time Sequencing Combined with Optical Mapping Yields Completely Finished Fungal Genome. </w:t>
      </w:r>
      <w:r w:rsidRPr="00B5287A">
        <w:rPr>
          <w:rFonts w:ascii="Calibri" w:hAnsi="Calibri"/>
          <w:i/>
          <w:iCs/>
          <w:lang w:val="en-US"/>
        </w:rPr>
        <w:t>mBio</w:t>
      </w:r>
      <w:r w:rsidRPr="00B5287A">
        <w:rPr>
          <w:rFonts w:ascii="Calibri" w:hAnsi="Calibri"/>
          <w:lang w:val="en-US"/>
        </w:rPr>
        <w:t xml:space="preserve"> </w:t>
      </w:r>
      <w:r w:rsidRPr="00B5287A">
        <w:rPr>
          <w:rFonts w:ascii="Calibri" w:hAnsi="Calibri"/>
          <w:b/>
          <w:bCs/>
          <w:lang w:val="en-US"/>
        </w:rPr>
        <w:t>6,</w:t>
      </w:r>
      <w:r w:rsidRPr="00B5287A">
        <w:rPr>
          <w:rFonts w:ascii="Calibri" w:hAnsi="Calibri"/>
          <w:lang w:val="en-US"/>
        </w:rPr>
        <w:t xml:space="preserve"> e00936-15 (2015).</w:t>
      </w:r>
    </w:p>
    <w:p w14:paraId="58774619" w14:textId="77777777" w:rsidR="00B5287A" w:rsidRPr="00B5287A" w:rsidRDefault="00B5287A" w:rsidP="00B5287A">
      <w:pPr>
        <w:pStyle w:val="Bibliographie"/>
        <w:rPr>
          <w:rFonts w:ascii="Calibri" w:hAnsi="Calibri"/>
        </w:rPr>
      </w:pPr>
      <w:r w:rsidRPr="00B5287A">
        <w:rPr>
          <w:rFonts w:ascii="Calibri" w:hAnsi="Calibri"/>
          <w:lang w:val="en-US"/>
        </w:rPr>
        <w:t>13.</w:t>
      </w:r>
      <w:r w:rsidRPr="00B5287A">
        <w:rPr>
          <w:rFonts w:ascii="Calibri" w:hAnsi="Calibri"/>
          <w:lang w:val="en-US"/>
        </w:rPr>
        <w:tab/>
        <w:t xml:space="preserve">Li, H. Aligning sequence reads, clone sequences and assembly contigs with BWA-MEM. </w:t>
      </w:r>
      <w:r w:rsidRPr="00B5287A">
        <w:rPr>
          <w:rFonts w:ascii="Calibri" w:hAnsi="Calibri"/>
          <w:i/>
          <w:iCs/>
        </w:rPr>
        <w:t>ArXiv13033997 Q-Bio</w:t>
      </w:r>
      <w:r w:rsidRPr="00B5287A">
        <w:rPr>
          <w:rFonts w:ascii="Calibri" w:hAnsi="Calibri"/>
        </w:rPr>
        <w:t xml:space="preserve"> (2013).</w:t>
      </w:r>
    </w:p>
    <w:p w14:paraId="419B57EE" w14:textId="72C907AB" w:rsidR="002F6302" w:rsidRPr="002F6302" w:rsidRDefault="002F6302" w:rsidP="002F6302">
      <w:pPr>
        <w:pStyle w:val="Bibliographie"/>
        <w:rPr>
          <w:rFonts w:ascii="Calibri" w:hAnsi="Calibri"/>
          <w:lang w:val="en-US"/>
        </w:rPr>
      </w:pPr>
      <w:r>
        <w:rPr>
          <w:rFonts w:ascii="Calibri" w:hAnsi="Calibri"/>
          <w:lang w:val="en-US"/>
        </w:rPr>
        <w:fldChar w:fldCharType="end"/>
      </w:r>
    </w:p>
    <w:p w14:paraId="1D008498" w14:textId="77777777" w:rsidR="00AD2D2A" w:rsidRPr="00B5287A" w:rsidRDefault="00AD2D2A" w:rsidP="00AD2D2A">
      <w:pPr>
        <w:rPr>
          <w:lang w:val="en-US"/>
        </w:rPr>
      </w:pPr>
    </w:p>
    <w:p w14:paraId="37EB6BFF" w14:textId="77777777" w:rsidR="00AD2D2A" w:rsidRPr="00B5287A" w:rsidRDefault="00AD2D2A">
      <w:pPr>
        <w:rPr>
          <w:lang w:val="en-US"/>
        </w:rPr>
      </w:pPr>
      <w:r w:rsidRPr="00B5287A">
        <w:rPr>
          <w:lang w:val="en-US"/>
        </w:rPr>
        <w:br w:type="page"/>
      </w:r>
    </w:p>
    <w:p w14:paraId="5D9AF8FD" w14:textId="77777777" w:rsidR="00AD2D2A" w:rsidRPr="00730010" w:rsidRDefault="00AD2D2A" w:rsidP="00AD2D2A">
      <w:pPr>
        <w:pStyle w:val="Titre1"/>
        <w:rPr>
          <w:lang w:val="en-US"/>
        </w:rPr>
      </w:pPr>
      <w:bookmarkStart w:id="26" w:name="_Toc512854535"/>
      <w:r>
        <w:rPr>
          <w:lang w:val="en-US"/>
        </w:rPr>
        <w:lastRenderedPageBreak/>
        <w:t>Figures</w:t>
      </w:r>
      <w:bookmarkEnd w:id="26"/>
    </w:p>
    <w:p w14:paraId="1D4EFC92" w14:textId="77777777" w:rsidR="00AD2D2A" w:rsidRPr="00730010" w:rsidRDefault="00AD2D2A" w:rsidP="00AD2D2A">
      <w:pPr>
        <w:rPr>
          <w:noProof/>
          <w:lang w:val="en-US" w:eastAsia="fr-FR"/>
        </w:rPr>
      </w:pPr>
    </w:p>
    <w:p w14:paraId="7A3C2DC6"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60288" behindDoc="0" locked="0" layoutInCell="1" allowOverlap="1" wp14:anchorId="59E55E20" wp14:editId="4F58D534">
                <wp:simplePos x="0" y="0"/>
                <wp:positionH relativeFrom="column">
                  <wp:posOffset>1352550</wp:posOffset>
                </wp:positionH>
                <wp:positionV relativeFrom="paragraph">
                  <wp:posOffset>2948940</wp:posOffset>
                </wp:positionV>
                <wp:extent cx="396748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a:effectLst/>
                      </wps:spPr>
                      <wps:txbx>
                        <w:txbxContent>
                          <w:p w14:paraId="5F5E2806" w14:textId="77777777" w:rsidR="00AD2D2A" w:rsidRPr="00BD2CA5" w:rsidRDefault="00AD2D2A" w:rsidP="00AD2D2A">
                            <w:pPr>
                              <w:pStyle w:val="Lgende"/>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1) Fragmentation de l'ADN. 2) Séquençage des </w:t>
                            </w:r>
                            <w:proofErr w:type="spellStart"/>
                            <w:r>
                              <w:t>reads</w:t>
                            </w:r>
                            <w:proofErr w:type="spellEnd"/>
                            <w:r>
                              <w:t xml:space="preserve"> en </w:t>
                            </w:r>
                            <w:proofErr w:type="spellStart"/>
                            <w:r>
                              <w:t>paired</w:t>
                            </w:r>
                            <w:proofErr w:type="spellEnd"/>
                            <w:r>
                              <w:t xml:space="preserve">-end habituel. 3) Cas où les fragments sont très grands par rapport à la taille de </w:t>
                            </w:r>
                            <w:proofErr w:type="spellStart"/>
                            <w:r>
                              <w:t>reads</w:t>
                            </w:r>
                            <w:proofErr w:type="spellEnd"/>
                            <w:r>
                              <w:t xml:space="preserve"> choisie. 4) Cas où les fragments sont très petits par rapport à la taille de </w:t>
                            </w:r>
                            <w:proofErr w:type="spellStart"/>
                            <w:r>
                              <w:t>reads</w:t>
                            </w:r>
                            <w:proofErr w:type="spellEnd"/>
                            <w:r>
                              <w:t xml:space="preserve"> choisie.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55E20" id="_x0000_t202" coordsize="21600,21600" o:spt="202" path="m,l,21600r21600,l21600,xe">
                <v:stroke joinstyle="miter"/>
                <v:path gradientshapeok="t" o:connecttype="rect"/>
              </v:shapetype>
              <v:shape id="Zone de texte 15" o:spid="_x0000_s1026" type="#_x0000_t202" style="position:absolute;margin-left:106.5pt;margin-top:232.2pt;width:31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" stroked="f">
                <v:textbox style="mso-fit-shape-to-text:t" inset="0,0,0,0">
                  <w:txbxContent>
                    <w:p w14:paraId="5F5E2806" w14:textId="77777777" w:rsidR="00AD2D2A" w:rsidRPr="00BD2CA5" w:rsidRDefault="00AD2D2A" w:rsidP="00AD2D2A">
                      <w:pPr>
                        <w:pStyle w:val="Lgende"/>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1) Fragmentation de l'ADN. 2) Séquençage des </w:t>
                      </w:r>
                      <w:proofErr w:type="spellStart"/>
                      <w:r>
                        <w:t>reads</w:t>
                      </w:r>
                      <w:proofErr w:type="spellEnd"/>
                      <w:r>
                        <w:t xml:space="preserve"> en </w:t>
                      </w:r>
                      <w:proofErr w:type="spellStart"/>
                      <w:r>
                        <w:t>paired</w:t>
                      </w:r>
                      <w:proofErr w:type="spellEnd"/>
                      <w:r>
                        <w:t xml:space="preserve">-end habituel. 3) Cas où les fragments sont très grands par rapport à la taille de </w:t>
                      </w:r>
                      <w:proofErr w:type="spellStart"/>
                      <w:r>
                        <w:t>reads</w:t>
                      </w:r>
                      <w:proofErr w:type="spellEnd"/>
                      <w:r>
                        <w:t xml:space="preserve"> choisie. 4) Cas où les fragments sont très petits par rapport à la taille de </w:t>
                      </w:r>
                      <w:proofErr w:type="spellStart"/>
                      <w:r>
                        <w:t>reads</w:t>
                      </w:r>
                      <w:proofErr w:type="spellEnd"/>
                      <w:r>
                        <w:t xml:space="preserve"> choisie.</w:t>
                      </w:r>
                    </w:p>
                  </w:txbxContent>
                </v:textbox>
                <w10:wrap type="topAndBottom"/>
              </v:shape>
            </w:pict>
          </mc:Fallback>
        </mc:AlternateContent>
      </w:r>
      <w:r>
        <w:rPr>
          <w:noProof/>
          <w:lang w:eastAsia="fr-FR"/>
        </w:rPr>
        <w:drawing>
          <wp:anchor distT="0" distB="0" distL="114300" distR="114300" simplePos="0" relativeHeight="251659264" behindDoc="0" locked="0" layoutInCell="1" allowOverlap="1" wp14:anchorId="1DF81518" wp14:editId="514DEE18">
            <wp:simplePos x="0" y="0"/>
            <wp:positionH relativeFrom="column">
              <wp:posOffset>1290955</wp:posOffset>
            </wp:positionH>
            <wp:positionV relativeFrom="paragraph">
              <wp:posOffset>209550</wp:posOffset>
            </wp:positionV>
            <wp:extent cx="3967480" cy="2740025"/>
            <wp:effectExtent l="0" t="0" r="0" b="317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s.png"/>
                    <pic:cNvPicPr/>
                  </pic:nvPicPr>
                  <pic:blipFill>
                    <a:blip r:embed="rId8">
                      <a:extLst>
                        <a:ext uri="{28A0092B-C50C-407E-A947-70E740481C1C}">
                          <a14:useLocalDpi xmlns:a14="http://schemas.microsoft.com/office/drawing/2010/main" val="0"/>
                        </a:ext>
                      </a:extLst>
                    </a:blip>
                    <a:stretch>
                      <a:fillRect/>
                    </a:stretch>
                  </pic:blipFill>
                  <pic:spPr>
                    <a:xfrm>
                      <a:off x="0" y="0"/>
                      <a:ext cx="3967480" cy="2740025"/>
                    </a:xfrm>
                    <a:prstGeom prst="rect">
                      <a:avLst/>
                    </a:prstGeom>
                  </pic:spPr>
                </pic:pic>
              </a:graphicData>
            </a:graphic>
            <wp14:sizeRelH relativeFrom="page">
              <wp14:pctWidth>0</wp14:pctWidth>
            </wp14:sizeRelH>
            <wp14:sizeRelV relativeFrom="page">
              <wp14:pctHeight>0</wp14:pctHeight>
            </wp14:sizeRelV>
          </wp:anchor>
        </w:drawing>
      </w:r>
    </w:p>
    <w:p w14:paraId="71B502BB" w14:textId="77777777" w:rsidR="00AD2D2A" w:rsidRPr="00730010" w:rsidRDefault="00AD2D2A" w:rsidP="00AD2D2A">
      <w:pPr>
        <w:rPr>
          <w:lang w:val="en-US"/>
        </w:rPr>
      </w:pPr>
      <w:r>
        <w:rPr>
          <w:noProof/>
          <w:lang w:eastAsia="fr-FR"/>
        </w:rPr>
        <w:drawing>
          <wp:anchor distT="0" distB="0" distL="114300" distR="114300" simplePos="0" relativeHeight="251661312" behindDoc="0" locked="0" layoutInCell="1" allowOverlap="1" wp14:anchorId="35B3E749" wp14:editId="51BCA9D2">
            <wp:simplePos x="0" y="0"/>
            <wp:positionH relativeFrom="margin">
              <wp:posOffset>857250</wp:posOffset>
            </wp:positionH>
            <wp:positionV relativeFrom="paragraph">
              <wp:posOffset>3361055</wp:posOffset>
            </wp:positionV>
            <wp:extent cx="2270760" cy="2851150"/>
            <wp:effectExtent l="0" t="0" r="0" b="6350"/>
            <wp:wrapSquare wrapText="lef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lagar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0760" cy="2851150"/>
                    </a:xfrm>
                    <a:prstGeom prst="rect">
                      <a:avLst/>
                    </a:prstGeom>
                  </pic:spPr>
                </pic:pic>
              </a:graphicData>
            </a:graphic>
            <wp14:sizeRelH relativeFrom="page">
              <wp14:pctWidth>0</wp14:pctWidth>
            </wp14:sizeRelH>
            <wp14:sizeRelV relativeFrom="page">
              <wp14:pctHeight>0</wp14:pctHeight>
            </wp14:sizeRelV>
          </wp:anchor>
        </w:drawing>
      </w:r>
    </w:p>
    <w:p w14:paraId="4836BF3D" w14:textId="77777777" w:rsidR="00AD2D2A" w:rsidRPr="00730010" w:rsidRDefault="00AD2D2A" w:rsidP="00AD2D2A">
      <w:pPr>
        <w:rPr>
          <w:lang w:val="en-US"/>
        </w:rPr>
      </w:pPr>
    </w:p>
    <w:p w14:paraId="77535203" w14:textId="77777777" w:rsidR="00AD2D2A" w:rsidRPr="00730010" w:rsidRDefault="00AD2D2A" w:rsidP="00AD2D2A">
      <w:pPr>
        <w:rPr>
          <w:lang w:val="en-US"/>
        </w:rPr>
      </w:pPr>
    </w:p>
    <w:p w14:paraId="527E2889" w14:textId="77777777" w:rsidR="00AD2D2A" w:rsidRPr="00730010" w:rsidRDefault="00AD2D2A" w:rsidP="00AD2D2A">
      <w:pPr>
        <w:rPr>
          <w:lang w:val="en-US"/>
        </w:rPr>
      </w:pPr>
    </w:p>
    <w:p w14:paraId="4CE5FBE4"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62336" behindDoc="0" locked="0" layoutInCell="1" allowOverlap="1" wp14:anchorId="4DCBB002" wp14:editId="1A2C2AF3">
                <wp:simplePos x="0" y="0"/>
                <wp:positionH relativeFrom="margin">
                  <wp:posOffset>3388995</wp:posOffset>
                </wp:positionH>
                <wp:positionV relativeFrom="paragraph">
                  <wp:posOffset>122555</wp:posOffset>
                </wp:positionV>
                <wp:extent cx="2552065" cy="635"/>
                <wp:effectExtent l="0" t="0" r="635"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a:effectLst/>
                      </wps:spPr>
                      <wps:txbx>
                        <w:txbxContent>
                          <w:p w14:paraId="381B414E" w14:textId="77777777" w:rsidR="00AD2D2A" w:rsidRPr="00DB7D70" w:rsidRDefault="00AD2D2A" w:rsidP="00AD2D2A">
                            <w:pPr>
                              <w:pStyle w:val="Lgende"/>
                              <w:rPr>
                                <w:noProof/>
                              </w:rPr>
                            </w:pPr>
                            <w:r>
                              <w:t xml:space="preserve">Figure </w:t>
                            </w:r>
                            <w:r>
                              <w:fldChar w:fldCharType="begin"/>
                            </w:r>
                            <w:r>
                              <w:instrText xml:space="preserve"> SEQ Figure \* ARABIC </w:instrText>
                            </w:r>
                            <w:r>
                              <w:fldChar w:fldCharType="separate"/>
                            </w:r>
                            <w:r>
                              <w:rPr>
                                <w:noProof/>
                              </w:rPr>
                              <w:t>2</w:t>
                            </w:r>
                            <w:r>
                              <w:rPr>
                                <w:noProof/>
                              </w:rPr>
                              <w:fldChar w:fldCharType="end"/>
                            </w:r>
                            <w:r w:rsidRPr="00534A7D">
                              <w:t>: Contrôle qualité de l'échantillon sur un gel d'agarose à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BB002" id="Zone de texte 17" o:spid="_x0000_s1027" type="#_x0000_t202" style="position:absolute;margin-left:266.85pt;margin-top:9.65pt;width:200.9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" stroked="f">
                <v:textbox style="mso-fit-shape-to-text:t" inset="0,0,0,0">
                  <w:txbxContent>
                    <w:p w14:paraId="381B414E" w14:textId="77777777" w:rsidR="00AD2D2A" w:rsidRPr="00DB7D70" w:rsidRDefault="00AD2D2A" w:rsidP="00AD2D2A">
                      <w:pPr>
                        <w:pStyle w:val="Lgende"/>
                        <w:rPr>
                          <w:noProof/>
                        </w:rPr>
                      </w:pPr>
                      <w:r>
                        <w:t xml:space="preserve">Figure </w:t>
                      </w:r>
                      <w:r>
                        <w:fldChar w:fldCharType="begin"/>
                      </w:r>
                      <w:r>
                        <w:instrText xml:space="preserve"> SEQ Figure \* ARABIC </w:instrText>
                      </w:r>
                      <w:r>
                        <w:fldChar w:fldCharType="separate"/>
                      </w:r>
                      <w:r>
                        <w:rPr>
                          <w:noProof/>
                        </w:rPr>
                        <w:t>2</w:t>
                      </w:r>
                      <w:r>
                        <w:rPr>
                          <w:noProof/>
                        </w:rPr>
                        <w:fldChar w:fldCharType="end"/>
                      </w:r>
                      <w:r w:rsidRPr="00534A7D">
                        <w:t>: Contrôle qualité de l'échantillon sur un gel d'agarose à 1%.</w:t>
                      </w:r>
                    </w:p>
                  </w:txbxContent>
                </v:textbox>
                <w10:wrap type="square" anchorx="margin"/>
              </v:shape>
            </w:pict>
          </mc:Fallback>
        </mc:AlternateContent>
      </w:r>
    </w:p>
    <w:p w14:paraId="2DFD37CA" w14:textId="77777777" w:rsidR="00AD2D2A" w:rsidRPr="00730010" w:rsidRDefault="00AD2D2A" w:rsidP="00AD2D2A">
      <w:pPr>
        <w:rPr>
          <w:lang w:val="en-US"/>
        </w:rPr>
      </w:pPr>
    </w:p>
    <w:p w14:paraId="665211AE" w14:textId="77777777" w:rsidR="00AD2D2A" w:rsidRPr="00730010" w:rsidRDefault="00AD2D2A" w:rsidP="00AD2D2A">
      <w:pPr>
        <w:rPr>
          <w:lang w:val="en-US"/>
        </w:rPr>
      </w:pPr>
    </w:p>
    <w:p w14:paraId="757D1D1E" w14:textId="77777777" w:rsidR="00AD2D2A" w:rsidRPr="00730010" w:rsidRDefault="00AD2D2A" w:rsidP="00AD2D2A">
      <w:pPr>
        <w:rPr>
          <w:lang w:val="en-US"/>
        </w:rPr>
      </w:pPr>
    </w:p>
    <w:p w14:paraId="5BD31117" w14:textId="77777777" w:rsidR="00AD2D2A" w:rsidRPr="00730010" w:rsidRDefault="00AD2D2A" w:rsidP="00AD2D2A">
      <w:pPr>
        <w:rPr>
          <w:lang w:val="en-US"/>
        </w:rPr>
      </w:pPr>
    </w:p>
    <w:p w14:paraId="4B438FAC" w14:textId="77777777" w:rsidR="00AD2D2A" w:rsidRPr="00730010" w:rsidRDefault="00AD2D2A" w:rsidP="00AD2D2A">
      <w:pPr>
        <w:rPr>
          <w:lang w:val="en-US"/>
        </w:rPr>
      </w:pPr>
    </w:p>
    <w:p w14:paraId="79EB9E09" w14:textId="77777777" w:rsidR="00AD2D2A" w:rsidRPr="00730010" w:rsidRDefault="00AD2D2A" w:rsidP="00AD2D2A">
      <w:pPr>
        <w:rPr>
          <w:lang w:val="en-US"/>
        </w:rPr>
      </w:pPr>
    </w:p>
    <w:p w14:paraId="5F1AB654" w14:textId="77777777" w:rsidR="00AD2D2A" w:rsidRPr="00730010" w:rsidRDefault="00AD2D2A" w:rsidP="00AD2D2A">
      <w:pPr>
        <w:rPr>
          <w:lang w:val="en-US"/>
        </w:rPr>
      </w:pPr>
      <w:r>
        <w:rPr>
          <w:noProof/>
          <w:lang w:eastAsia="fr-FR"/>
        </w:rPr>
        <w:drawing>
          <wp:anchor distT="0" distB="0" distL="114300" distR="114300" simplePos="0" relativeHeight="251663360" behindDoc="0" locked="0" layoutInCell="1" allowOverlap="1" wp14:anchorId="2B78672C" wp14:editId="451AD3FB">
            <wp:simplePos x="0" y="0"/>
            <wp:positionH relativeFrom="column">
              <wp:posOffset>866775</wp:posOffset>
            </wp:positionH>
            <wp:positionV relativeFrom="margin">
              <wp:align>bottom</wp:align>
            </wp:positionV>
            <wp:extent cx="2516400" cy="1645200"/>
            <wp:effectExtent l="0" t="0" r="0" b="0"/>
            <wp:wrapSquare wrapText="r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queQuality.png"/>
                    <pic:cNvPicPr/>
                  </pic:nvPicPr>
                  <pic:blipFill>
                    <a:blip r:embed="rId10">
                      <a:extLst>
                        <a:ext uri="{28A0092B-C50C-407E-A947-70E740481C1C}">
                          <a14:useLocalDpi xmlns:a14="http://schemas.microsoft.com/office/drawing/2010/main" val="0"/>
                        </a:ext>
                      </a:extLst>
                    </a:blip>
                    <a:stretch>
                      <a:fillRect/>
                    </a:stretch>
                  </pic:blipFill>
                  <pic:spPr>
                    <a:xfrm>
                      <a:off x="0" y="0"/>
                      <a:ext cx="2516400" cy="1645200"/>
                    </a:xfrm>
                    <a:prstGeom prst="rect">
                      <a:avLst/>
                    </a:prstGeom>
                  </pic:spPr>
                </pic:pic>
              </a:graphicData>
            </a:graphic>
            <wp14:sizeRelH relativeFrom="page">
              <wp14:pctWidth>0</wp14:pctWidth>
            </wp14:sizeRelH>
            <wp14:sizeRelV relativeFrom="page">
              <wp14:pctHeight>0</wp14:pctHeight>
            </wp14:sizeRelV>
          </wp:anchor>
        </w:drawing>
      </w:r>
    </w:p>
    <w:p w14:paraId="1ED1A67C"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64384" behindDoc="0" locked="0" layoutInCell="1" allowOverlap="1" wp14:anchorId="31432B96" wp14:editId="78EBE671">
                <wp:simplePos x="0" y="0"/>
                <wp:positionH relativeFrom="page">
                  <wp:posOffset>4448175</wp:posOffset>
                </wp:positionH>
                <wp:positionV relativeFrom="paragraph">
                  <wp:posOffset>190500</wp:posOffset>
                </wp:positionV>
                <wp:extent cx="2476500" cy="635"/>
                <wp:effectExtent l="0" t="0" r="0" b="635"/>
                <wp:wrapSquare wrapText="bothSides"/>
                <wp:docPr id="19" name="Zone de texte 19"/>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14:paraId="424A219E" w14:textId="77777777" w:rsidR="00AD2D2A" w:rsidRPr="00730010" w:rsidRDefault="00AD2D2A" w:rsidP="00AD2D2A">
                            <w:pPr>
                              <w:pStyle w:val="Lgende"/>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C23EBC">
                              <w:t>Taille moyenne des fragments de la banque. Elle doit se trouver entre 400 et 500pb.Les deux pics à chaque extrémité du graphique correspondent à des marqueurs et ne font pas partis de la banque.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432B96" id="Zone de texte 19" o:spid="_x0000_s1028" type="#_x0000_t202" style="position:absolute;margin-left:350.25pt;margin-top:15pt;width:195pt;height:.0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" stroked="f">
                <v:textbox style="mso-fit-shape-to-text:t" inset="0,0,0,0">
                  <w:txbxContent>
                    <w:p w14:paraId="424A219E" w14:textId="77777777" w:rsidR="00AD2D2A" w:rsidRPr="00730010" w:rsidRDefault="00AD2D2A" w:rsidP="00AD2D2A">
                      <w:pPr>
                        <w:pStyle w:val="Lgende"/>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C23EBC">
                        <w:t>Taille moyenne des fragments de la banque. Elle doit se trouver entre 400 et 500pb.Les deux pics à chaque extrémité du graphique correspondent à des marqueurs et ne font pas partis de la banque.</w:t>
                      </w:r>
                    </w:p>
                  </w:txbxContent>
                </v:textbox>
                <w10:wrap type="square" anchorx="page"/>
              </v:shape>
            </w:pict>
          </mc:Fallback>
        </mc:AlternateContent>
      </w:r>
    </w:p>
    <w:p w14:paraId="6BECA116" w14:textId="77777777" w:rsidR="00AD2D2A" w:rsidRPr="00730010" w:rsidRDefault="00AD2D2A" w:rsidP="00AD2D2A">
      <w:pPr>
        <w:rPr>
          <w:lang w:val="en-US"/>
        </w:rPr>
      </w:pPr>
    </w:p>
    <w:p w14:paraId="6FECB21D" w14:textId="77777777" w:rsidR="00AD2D2A" w:rsidRPr="00730010" w:rsidRDefault="00AD2D2A" w:rsidP="00AD2D2A">
      <w:pPr>
        <w:rPr>
          <w:lang w:val="en-US"/>
        </w:rPr>
      </w:pPr>
    </w:p>
    <w:p w14:paraId="6679FCBE" w14:textId="77777777" w:rsidR="00AD2D2A" w:rsidRPr="00730010" w:rsidRDefault="00AD2D2A" w:rsidP="00AD2D2A">
      <w:pPr>
        <w:rPr>
          <w:lang w:val="en-US"/>
        </w:rPr>
      </w:pPr>
      <w:r>
        <w:rPr>
          <w:noProof/>
          <w:lang w:eastAsia="fr-FR"/>
        </w:rPr>
        <w:lastRenderedPageBreak/>
        <mc:AlternateContent>
          <mc:Choice Requires="wps">
            <w:drawing>
              <wp:anchor distT="0" distB="0" distL="114300" distR="114300" simplePos="0" relativeHeight="251666432" behindDoc="0" locked="0" layoutInCell="1" allowOverlap="1" wp14:anchorId="0CF46BCC" wp14:editId="17D83692">
                <wp:simplePos x="0" y="0"/>
                <wp:positionH relativeFrom="margin">
                  <wp:align>center</wp:align>
                </wp:positionH>
                <wp:positionV relativeFrom="paragraph">
                  <wp:posOffset>3104515</wp:posOffset>
                </wp:positionV>
                <wp:extent cx="4848860" cy="190500"/>
                <wp:effectExtent l="0" t="0" r="8890" b="0"/>
                <wp:wrapTopAndBottom/>
                <wp:docPr id="21" name="Zone de texte 21"/>
                <wp:cNvGraphicFramePr/>
                <a:graphic xmlns:a="http://schemas.openxmlformats.org/drawingml/2006/main">
                  <a:graphicData uri="http://schemas.microsoft.com/office/word/2010/wordprocessingShape">
                    <wps:wsp>
                      <wps:cNvSpPr txBox="1"/>
                      <wps:spPr>
                        <a:xfrm>
                          <a:off x="0" y="0"/>
                          <a:ext cx="4848860" cy="190500"/>
                        </a:xfrm>
                        <a:prstGeom prst="rect">
                          <a:avLst/>
                        </a:prstGeom>
                        <a:solidFill>
                          <a:prstClr val="white"/>
                        </a:solidFill>
                        <a:ln>
                          <a:noFill/>
                        </a:ln>
                        <a:effectLst/>
                      </wps:spPr>
                      <wps:txbx>
                        <w:txbxContent>
                          <w:p w14:paraId="45E52D23" w14:textId="77777777" w:rsidR="00AD2D2A" w:rsidRPr="001B2A5D"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3</w:t>
                            </w:r>
                            <w:r>
                              <w:rPr>
                                <w:noProof/>
                              </w:rPr>
                              <w:fldChar w:fldCharType="end"/>
                            </w:r>
                            <w:r>
                              <w:t xml:space="preserve"> : </w:t>
                            </w:r>
                            <w:r w:rsidRPr="004E0021">
                              <w:t>Résultat du séquençage.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46BCC" id="Zone de texte 21" o:spid="_x0000_s1029" type="#_x0000_t202" style="position:absolute;margin-left:0;margin-top:244.45pt;width:381.8pt;height:1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" stroked="f">
                <v:textbox inset="0,0,0,0">
                  <w:txbxContent>
                    <w:p w14:paraId="45E52D23" w14:textId="77777777" w:rsidR="00AD2D2A" w:rsidRPr="001B2A5D"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3</w:t>
                      </w:r>
                      <w:r>
                        <w:rPr>
                          <w:noProof/>
                        </w:rPr>
                        <w:fldChar w:fldCharType="end"/>
                      </w:r>
                      <w:r>
                        <w:t xml:space="preserve"> : </w:t>
                      </w:r>
                      <w:r w:rsidRPr="004E0021">
                        <w:t>Résultat du séquençage.</w:t>
                      </w:r>
                    </w:p>
                  </w:txbxContent>
                </v:textbox>
                <w10:wrap type="topAndBottom" anchorx="margin"/>
              </v:shape>
            </w:pict>
          </mc:Fallback>
        </mc:AlternateContent>
      </w:r>
      <w:r>
        <w:rPr>
          <w:noProof/>
          <w:lang w:eastAsia="fr-FR"/>
        </w:rPr>
        <w:drawing>
          <wp:anchor distT="0" distB="0" distL="114300" distR="114300" simplePos="0" relativeHeight="251665408" behindDoc="0" locked="0" layoutInCell="1" allowOverlap="1" wp14:anchorId="5CB24120" wp14:editId="3D794A68">
            <wp:simplePos x="0" y="0"/>
            <wp:positionH relativeFrom="margin">
              <wp:align>center</wp:align>
            </wp:positionH>
            <wp:positionV relativeFrom="paragraph">
              <wp:posOffset>0</wp:posOffset>
            </wp:positionV>
            <wp:extent cx="4849200" cy="2908800"/>
            <wp:effectExtent l="0" t="0" r="8890" b="635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atsSequencage.PNG"/>
                    <pic:cNvPicPr/>
                  </pic:nvPicPr>
                  <pic:blipFill>
                    <a:blip r:embed="rId11">
                      <a:extLst>
                        <a:ext uri="{28A0092B-C50C-407E-A947-70E740481C1C}">
                          <a14:useLocalDpi xmlns:a14="http://schemas.microsoft.com/office/drawing/2010/main" val="0"/>
                        </a:ext>
                      </a:extLst>
                    </a:blip>
                    <a:stretch>
                      <a:fillRect/>
                    </a:stretch>
                  </pic:blipFill>
                  <pic:spPr>
                    <a:xfrm>
                      <a:off x="0" y="0"/>
                      <a:ext cx="4849200" cy="2908800"/>
                    </a:xfrm>
                    <a:prstGeom prst="rect">
                      <a:avLst/>
                    </a:prstGeom>
                  </pic:spPr>
                </pic:pic>
              </a:graphicData>
            </a:graphic>
            <wp14:sizeRelH relativeFrom="margin">
              <wp14:pctWidth>0</wp14:pctWidth>
            </wp14:sizeRelH>
            <wp14:sizeRelV relativeFrom="margin">
              <wp14:pctHeight>0</wp14:pctHeight>
            </wp14:sizeRelV>
          </wp:anchor>
        </w:drawing>
      </w:r>
    </w:p>
    <w:p w14:paraId="70E1E8C0"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68480" behindDoc="0" locked="0" layoutInCell="1" allowOverlap="1" wp14:anchorId="71285331" wp14:editId="330C6FB8">
                <wp:simplePos x="0" y="0"/>
                <wp:positionH relativeFrom="column">
                  <wp:posOffset>376555</wp:posOffset>
                </wp:positionH>
                <wp:positionV relativeFrom="paragraph">
                  <wp:posOffset>2431415</wp:posOffset>
                </wp:positionV>
                <wp:extent cx="576072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483CF170" w14:textId="77777777" w:rsidR="00AD2D2A" w:rsidRPr="009F4255"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gramStart"/>
                            <w:r>
                              <w:t>:</w:t>
                            </w:r>
                            <w:r w:rsidRPr="00B73677">
                              <w:t>Figure</w:t>
                            </w:r>
                            <w:proofErr w:type="gramEnd"/>
                            <w:r w:rsidRPr="00B73677">
                              <w:t xml:space="preserve"> 4: Résultat de </w:t>
                            </w:r>
                            <w:proofErr w:type="spellStart"/>
                            <w:r w:rsidRPr="00B73677">
                              <w:t>FasQ</w:t>
                            </w:r>
                            <w:proofErr w:type="spellEnd"/>
                            <w:r w:rsidRPr="00B73677">
                              <w:t xml:space="preserve"> </w:t>
                            </w:r>
                            <w:proofErr w:type="spellStart"/>
                            <w:r w:rsidRPr="00B73677">
                              <w:t>Screen</w:t>
                            </w:r>
                            <w:proofErr w:type="spellEnd"/>
                            <w:r w:rsidRPr="00B73677">
                              <w:t>. On peut voir qu'il n'y a pas de contamination d'autres organismes. Il est normal d'obtenir des hits pour les deux espèces très proches de chauve-souris, ainsi que pour les autres mammifères dans une moindre mesure.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85331" id="Zone de texte 23" o:spid="_x0000_s1030" type="#_x0000_t202" style="position:absolute;margin-left:29.65pt;margin-top:191.4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" stroked="f">
                <v:textbox style="mso-fit-shape-to-text:t" inset="0,0,0,0">
                  <w:txbxContent>
                    <w:p w14:paraId="483CF170" w14:textId="77777777" w:rsidR="00AD2D2A" w:rsidRPr="009F4255"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gramStart"/>
                      <w:r>
                        <w:t>:</w:t>
                      </w:r>
                      <w:r w:rsidRPr="00B73677">
                        <w:t>Figure</w:t>
                      </w:r>
                      <w:proofErr w:type="gramEnd"/>
                      <w:r w:rsidRPr="00B73677">
                        <w:t xml:space="preserve"> 4: Résultat de </w:t>
                      </w:r>
                      <w:proofErr w:type="spellStart"/>
                      <w:r w:rsidRPr="00B73677">
                        <w:t>FasQ</w:t>
                      </w:r>
                      <w:proofErr w:type="spellEnd"/>
                      <w:r w:rsidRPr="00B73677">
                        <w:t xml:space="preserve"> </w:t>
                      </w:r>
                      <w:proofErr w:type="spellStart"/>
                      <w:r w:rsidRPr="00B73677">
                        <w:t>Screen</w:t>
                      </w:r>
                      <w:proofErr w:type="spellEnd"/>
                      <w:r w:rsidRPr="00B73677">
                        <w:t>. On peut voir qu'il n'y a pas de contamination d'autres organismes. Il est normal d'obtenir des hits pour les deux espèces très proches de chauve-souris, ainsi que pour les autres mammifères dans une moindre mesure.</w:t>
                      </w:r>
                    </w:p>
                  </w:txbxContent>
                </v:textbox>
                <w10:wrap type="square"/>
              </v:shape>
            </w:pict>
          </mc:Fallback>
        </mc:AlternateContent>
      </w:r>
      <w:r>
        <w:rPr>
          <w:noProof/>
          <w:lang w:eastAsia="fr-FR"/>
        </w:rPr>
        <w:drawing>
          <wp:anchor distT="0" distB="0" distL="114300" distR="114300" simplePos="0" relativeHeight="251667456" behindDoc="0" locked="0" layoutInCell="1" allowOverlap="1" wp14:anchorId="7F26B57D" wp14:editId="0B0D7FD7">
            <wp:simplePos x="0" y="0"/>
            <wp:positionH relativeFrom="column">
              <wp:posOffset>376555</wp:posOffset>
            </wp:positionH>
            <wp:positionV relativeFrom="paragraph">
              <wp:posOffset>347980</wp:posOffset>
            </wp:positionV>
            <wp:extent cx="5760720" cy="202628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tqscre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14:sizeRelH relativeFrom="page">
              <wp14:pctWidth>0</wp14:pctWidth>
            </wp14:sizeRelH>
            <wp14:sizeRelV relativeFrom="page">
              <wp14:pctHeight>0</wp14:pctHeight>
            </wp14:sizeRelV>
          </wp:anchor>
        </w:drawing>
      </w:r>
      <w:r w:rsidRPr="00730010">
        <w:rPr>
          <w:lang w:val="en-US"/>
        </w:rPr>
        <w:tab/>
      </w:r>
    </w:p>
    <w:p w14:paraId="25AB04E3" w14:textId="77777777" w:rsidR="00AD2D2A" w:rsidRPr="00730010" w:rsidRDefault="00AD2D2A" w:rsidP="00AD2D2A">
      <w:pPr>
        <w:rPr>
          <w:lang w:val="en-US"/>
        </w:rPr>
      </w:pPr>
    </w:p>
    <w:p w14:paraId="2CE74B1D" w14:textId="77777777" w:rsidR="00AD2D2A" w:rsidRPr="00730010" w:rsidRDefault="00AD2D2A" w:rsidP="00AD2D2A">
      <w:pPr>
        <w:rPr>
          <w:lang w:val="en-US"/>
        </w:rPr>
      </w:pPr>
    </w:p>
    <w:p w14:paraId="4039586C" w14:textId="77777777" w:rsidR="00AD2D2A" w:rsidRPr="00730010" w:rsidRDefault="00AD2D2A" w:rsidP="00AD2D2A">
      <w:pPr>
        <w:rPr>
          <w:lang w:val="en-US"/>
        </w:rPr>
      </w:pPr>
    </w:p>
    <w:p w14:paraId="73020C9C" w14:textId="77777777" w:rsidR="00AD2D2A" w:rsidRPr="00730010" w:rsidRDefault="00AD2D2A" w:rsidP="00AD2D2A">
      <w:pPr>
        <w:rPr>
          <w:lang w:val="en-US"/>
        </w:rPr>
      </w:pPr>
    </w:p>
    <w:p w14:paraId="30AAB3A9" w14:textId="77777777" w:rsidR="00AD2D2A" w:rsidRPr="00730010" w:rsidRDefault="00AD2D2A" w:rsidP="00AD2D2A">
      <w:pPr>
        <w:rPr>
          <w:lang w:val="en-US"/>
        </w:rPr>
      </w:pPr>
    </w:p>
    <w:p w14:paraId="1FBB1EF5" w14:textId="77777777" w:rsidR="00AD2D2A" w:rsidRPr="00730010" w:rsidRDefault="00AD2D2A" w:rsidP="00AD2D2A">
      <w:pPr>
        <w:rPr>
          <w:lang w:val="en-US"/>
        </w:rPr>
      </w:pPr>
    </w:p>
    <w:p w14:paraId="689F5832" w14:textId="77777777" w:rsidR="00AD2D2A" w:rsidRPr="00730010" w:rsidRDefault="00AD2D2A" w:rsidP="00AD2D2A">
      <w:pPr>
        <w:rPr>
          <w:lang w:val="en-US"/>
        </w:rPr>
      </w:pPr>
    </w:p>
    <w:p w14:paraId="44076309" w14:textId="77777777" w:rsidR="00AD2D2A" w:rsidRPr="00730010" w:rsidRDefault="00AD2D2A" w:rsidP="00AD2D2A">
      <w:pPr>
        <w:rPr>
          <w:lang w:val="en-US"/>
        </w:rPr>
      </w:pPr>
    </w:p>
    <w:p w14:paraId="6A6F272F" w14:textId="77777777" w:rsidR="00AD2D2A" w:rsidRPr="00730010" w:rsidRDefault="00AD2D2A" w:rsidP="00AD2D2A">
      <w:pPr>
        <w:rPr>
          <w:lang w:val="en-US"/>
        </w:rPr>
      </w:pPr>
    </w:p>
    <w:p w14:paraId="453F2AE3" w14:textId="77777777" w:rsidR="00AD2D2A" w:rsidRPr="00730010" w:rsidRDefault="00AD2D2A" w:rsidP="00AD2D2A">
      <w:pPr>
        <w:rPr>
          <w:lang w:val="en-US"/>
        </w:rPr>
      </w:pPr>
      <w:r>
        <w:rPr>
          <w:noProof/>
          <w:lang w:eastAsia="fr-FR"/>
        </w:rPr>
        <w:drawing>
          <wp:anchor distT="0" distB="0" distL="114300" distR="114300" simplePos="0" relativeHeight="251669504" behindDoc="0" locked="0" layoutInCell="1" allowOverlap="1" wp14:anchorId="1FEDFF4C" wp14:editId="0867D630">
            <wp:simplePos x="0" y="0"/>
            <wp:positionH relativeFrom="margin">
              <wp:posOffset>962025</wp:posOffset>
            </wp:positionH>
            <wp:positionV relativeFrom="paragraph">
              <wp:posOffset>175895</wp:posOffset>
            </wp:positionV>
            <wp:extent cx="4852800" cy="2034000"/>
            <wp:effectExtent l="0" t="0" r="5080" b="444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uQ.PNG"/>
                    <pic:cNvPicPr/>
                  </pic:nvPicPr>
                  <pic:blipFill>
                    <a:blip r:embed="rId13">
                      <a:extLst>
                        <a:ext uri="{28A0092B-C50C-407E-A947-70E740481C1C}">
                          <a14:useLocalDpi xmlns:a14="http://schemas.microsoft.com/office/drawing/2010/main" val="0"/>
                        </a:ext>
                      </a:extLst>
                    </a:blip>
                    <a:stretch>
                      <a:fillRect/>
                    </a:stretch>
                  </pic:blipFill>
                  <pic:spPr>
                    <a:xfrm>
                      <a:off x="0" y="0"/>
                      <a:ext cx="4852800" cy="2034000"/>
                    </a:xfrm>
                    <a:prstGeom prst="rect">
                      <a:avLst/>
                    </a:prstGeom>
                  </pic:spPr>
                </pic:pic>
              </a:graphicData>
            </a:graphic>
            <wp14:sizeRelH relativeFrom="margin">
              <wp14:pctWidth>0</wp14:pctWidth>
            </wp14:sizeRelH>
            <wp14:sizeRelV relativeFrom="margin">
              <wp14:pctHeight>0</wp14:pctHeight>
            </wp14:sizeRelV>
          </wp:anchor>
        </w:drawing>
      </w:r>
    </w:p>
    <w:p w14:paraId="235D2720" w14:textId="77777777" w:rsidR="00AD2D2A" w:rsidRPr="00730010" w:rsidRDefault="00AD2D2A" w:rsidP="00AD2D2A">
      <w:pPr>
        <w:rPr>
          <w:lang w:val="en-US"/>
        </w:rPr>
      </w:pPr>
    </w:p>
    <w:p w14:paraId="47B2B63D" w14:textId="77777777" w:rsidR="00AD2D2A" w:rsidRPr="00730010" w:rsidRDefault="00AD2D2A" w:rsidP="00AD2D2A">
      <w:pPr>
        <w:rPr>
          <w:lang w:val="en-US"/>
        </w:rPr>
      </w:pPr>
    </w:p>
    <w:p w14:paraId="2E06242B" w14:textId="77777777" w:rsidR="00AD2D2A" w:rsidRPr="00730010" w:rsidRDefault="00AD2D2A" w:rsidP="00AD2D2A">
      <w:pPr>
        <w:rPr>
          <w:lang w:val="en-US"/>
        </w:rPr>
      </w:pPr>
    </w:p>
    <w:p w14:paraId="3CA64F93" w14:textId="77777777" w:rsidR="00AD2D2A" w:rsidRPr="00730010" w:rsidRDefault="00AD2D2A" w:rsidP="00AD2D2A">
      <w:pPr>
        <w:rPr>
          <w:lang w:val="en-US"/>
        </w:rPr>
      </w:pPr>
    </w:p>
    <w:p w14:paraId="53479EF5" w14:textId="77777777" w:rsidR="00AD2D2A" w:rsidRPr="00730010" w:rsidRDefault="00AD2D2A" w:rsidP="00AD2D2A">
      <w:pPr>
        <w:rPr>
          <w:lang w:val="en-US"/>
        </w:rPr>
      </w:pPr>
    </w:p>
    <w:p w14:paraId="7DA9EDB3" w14:textId="77777777" w:rsidR="00AD2D2A" w:rsidRPr="00730010" w:rsidRDefault="00AD2D2A" w:rsidP="00AD2D2A">
      <w:pPr>
        <w:rPr>
          <w:lang w:val="en-US"/>
        </w:rPr>
      </w:pPr>
    </w:p>
    <w:p w14:paraId="7B10DDEA" w14:textId="77777777" w:rsidR="00AD2D2A" w:rsidRPr="00730010" w:rsidRDefault="00AD2D2A" w:rsidP="00AD2D2A">
      <w:pPr>
        <w:rPr>
          <w:lang w:val="en-US"/>
        </w:rPr>
      </w:pPr>
    </w:p>
    <w:p w14:paraId="511E5DCE"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70528" behindDoc="0" locked="0" layoutInCell="1" allowOverlap="1" wp14:anchorId="12909F2C" wp14:editId="51370325">
                <wp:simplePos x="0" y="0"/>
                <wp:positionH relativeFrom="margin">
                  <wp:posOffset>919480</wp:posOffset>
                </wp:positionH>
                <wp:positionV relativeFrom="paragraph">
                  <wp:posOffset>112395</wp:posOffset>
                </wp:positionV>
                <wp:extent cx="4852670" cy="304800"/>
                <wp:effectExtent l="0" t="0" r="508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4852670" cy="304800"/>
                        </a:xfrm>
                        <a:prstGeom prst="rect">
                          <a:avLst/>
                        </a:prstGeom>
                        <a:solidFill>
                          <a:prstClr val="white"/>
                        </a:solidFill>
                        <a:ln>
                          <a:noFill/>
                        </a:ln>
                        <a:effectLst/>
                      </wps:spPr>
                      <wps:txbx>
                        <w:txbxContent>
                          <w:p w14:paraId="5DF3D404" w14:textId="77777777" w:rsidR="00AD2D2A" w:rsidRPr="005E483C"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4</w:t>
                            </w:r>
                            <w:r>
                              <w:rPr>
                                <w:noProof/>
                              </w:rPr>
                              <w:fldChar w:fldCharType="end"/>
                            </w:r>
                            <w:r>
                              <w:t xml:space="preserve">: </w:t>
                            </w:r>
                            <w:r w:rsidRPr="00122925">
                              <w:t xml:space="preserve">Résultats selon différent paramètres de </w:t>
                            </w:r>
                            <w:proofErr w:type="spellStart"/>
                            <w:r w:rsidRPr="00122925">
                              <w:t>misalignement</w:t>
                            </w:r>
                            <w:proofErr w:type="spellEnd"/>
                            <w:r w:rsidRPr="00122925">
                              <w:t xml:space="preserve"> et de seuil de </w:t>
                            </w:r>
                            <w:proofErr w:type="spellStart"/>
                            <w:r w:rsidRPr="00122925">
                              <w:t>trimming</w:t>
                            </w:r>
                            <w:proofErr w:type="spellEnd"/>
                            <w:r>
                              <w:t xml:space="preserve">, avant suppression des </w:t>
                            </w:r>
                            <w:proofErr w:type="spellStart"/>
                            <w:r>
                              <w:t>polyG</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09F2C" id="Zone de texte 25" o:spid="_x0000_s1031" type="#_x0000_t202" style="position:absolute;margin-left:72.4pt;margin-top:8.85pt;width:382.1pt;height:2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" stroked="f">
                <v:textbox inset="0,0,0,0">
                  <w:txbxContent>
                    <w:p w14:paraId="5DF3D404" w14:textId="77777777" w:rsidR="00AD2D2A" w:rsidRPr="005E483C"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4</w:t>
                      </w:r>
                      <w:r>
                        <w:rPr>
                          <w:noProof/>
                        </w:rPr>
                        <w:fldChar w:fldCharType="end"/>
                      </w:r>
                      <w:r>
                        <w:t xml:space="preserve">: </w:t>
                      </w:r>
                      <w:r w:rsidRPr="00122925">
                        <w:t xml:space="preserve">Résultats selon différent paramètres de </w:t>
                      </w:r>
                      <w:proofErr w:type="spellStart"/>
                      <w:r w:rsidRPr="00122925">
                        <w:t>misalignement</w:t>
                      </w:r>
                      <w:proofErr w:type="spellEnd"/>
                      <w:r w:rsidRPr="00122925">
                        <w:t xml:space="preserve"> et de seuil de </w:t>
                      </w:r>
                      <w:proofErr w:type="spellStart"/>
                      <w:r w:rsidRPr="00122925">
                        <w:t>trimming</w:t>
                      </w:r>
                      <w:proofErr w:type="spellEnd"/>
                      <w:r>
                        <w:t xml:space="preserve">, avant suppression des </w:t>
                      </w:r>
                      <w:proofErr w:type="spellStart"/>
                      <w:r>
                        <w:t>polyG</w:t>
                      </w:r>
                      <w:proofErr w:type="spellEnd"/>
                      <w:r>
                        <w:t>.</w:t>
                      </w:r>
                    </w:p>
                  </w:txbxContent>
                </v:textbox>
                <w10:wrap type="square" anchorx="margin"/>
              </v:shape>
            </w:pict>
          </mc:Fallback>
        </mc:AlternateContent>
      </w:r>
    </w:p>
    <w:p w14:paraId="15019529" w14:textId="77777777" w:rsidR="00AD2D2A" w:rsidRPr="00730010" w:rsidRDefault="00AD2D2A" w:rsidP="00AD2D2A">
      <w:pPr>
        <w:rPr>
          <w:lang w:val="en-US"/>
        </w:rPr>
      </w:pPr>
      <w:r>
        <w:rPr>
          <w:noProof/>
          <w:lang w:eastAsia="fr-FR"/>
        </w:rPr>
        <w:lastRenderedPageBreak/>
        <w:drawing>
          <wp:anchor distT="0" distB="0" distL="114300" distR="114300" simplePos="0" relativeHeight="251671552" behindDoc="0" locked="0" layoutInCell="1" allowOverlap="1" wp14:anchorId="46808A11" wp14:editId="4C3D9008">
            <wp:simplePos x="0" y="0"/>
            <wp:positionH relativeFrom="column">
              <wp:posOffset>452755</wp:posOffset>
            </wp:positionH>
            <wp:positionV relativeFrom="paragraph">
              <wp:posOffset>0</wp:posOffset>
            </wp:positionV>
            <wp:extent cx="5760720" cy="2241550"/>
            <wp:effectExtent l="0" t="0" r="0" b="635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uQ_noPolyG.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41550"/>
                    </a:xfrm>
                    <a:prstGeom prst="rect">
                      <a:avLst/>
                    </a:prstGeom>
                  </pic:spPr>
                </pic:pic>
              </a:graphicData>
            </a:graphic>
            <wp14:sizeRelH relativeFrom="page">
              <wp14:pctWidth>0</wp14:pctWidth>
            </wp14:sizeRelH>
            <wp14:sizeRelV relativeFrom="page">
              <wp14:pctHeight>0</wp14:pctHeight>
            </wp14:sizeRelV>
          </wp:anchor>
        </w:drawing>
      </w:r>
    </w:p>
    <w:p w14:paraId="78C3F9E4" w14:textId="77777777" w:rsidR="00AD2D2A" w:rsidRPr="00730010" w:rsidRDefault="00AD2D2A" w:rsidP="00AD2D2A">
      <w:pPr>
        <w:rPr>
          <w:lang w:val="en-US"/>
        </w:rPr>
      </w:pPr>
    </w:p>
    <w:p w14:paraId="1156A248" w14:textId="77777777" w:rsidR="00AD2D2A" w:rsidRPr="00730010" w:rsidRDefault="00AD2D2A" w:rsidP="00AD2D2A">
      <w:pPr>
        <w:rPr>
          <w:lang w:val="en-US"/>
        </w:rPr>
      </w:pPr>
    </w:p>
    <w:p w14:paraId="439C60C6" w14:textId="77777777" w:rsidR="00AD2D2A" w:rsidRPr="00730010" w:rsidRDefault="00AD2D2A" w:rsidP="00AD2D2A">
      <w:pPr>
        <w:rPr>
          <w:lang w:val="en-US"/>
        </w:rPr>
      </w:pPr>
    </w:p>
    <w:p w14:paraId="613963BE" w14:textId="77777777" w:rsidR="00AD2D2A" w:rsidRPr="00730010" w:rsidRDefault="00AD2D2A" w:rsidP="00AD2D2A">
      <w:pPr>
        <w:rPr>
          <w:lang w:val="en-US"/>
        </w:rPr>
      </w:pPr>
    </w:p>
    <w:p w14:paraId="71B46BBA" w14:textId="77777777" w:rsidR="00AD2D2A" w:rsidRPr="00730010" w:rsidRDefault="00AD2D2A" w:rsidP="00AD2D2A">
      <w:pPr>
        <w:rPr>
          <w:lang w:val="en-US"/>
        </w:rPr>
      </w:pPr>
    </w:p>
    <w:p w14:paraId="3195BA81" w14:textId="77777777" w:rsidR="00AD2D2A" w:rsidRPr="00730010" w:rsidRDefault="00AD2D2A" w:rsidP="00AD2D2A">
      <w:pPr>
        <w:rPr>
          <w:lang w:val="en-US"/>
        </w:rPr>
      </w:pPr>
    </w:p>
    <w:p w14:paraId="5820AB1F" w14:textId="77777777" w:rsidR="00AD2D2A" w:rsidRPr="00730010" w:rsidRDefault="00AD2D2A" w:rsidP="00AD2D2A">
      <w:pPr>
        <w:rPr>
          <w:lang w:val="en-US"/>
        </w:rPr>
      </w:pPr>
    </w:p>
    <w:p w14:paraId="7851B04E"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72576" behindDoc="0" locked="0" layoutInCell="1" allowOverlap="1" wp14:anchorId="70CB6549" wp14:editId="45F98E51">
                <wp:simplePos x="0" y="0"/>
                <wp:positionH relativeFrom="column">
                  <wp:posOffset>509905</wp:posOffset>
                </wp:positionH>
                <wp:positionV relativeFrom="paragraph">
                  <wp:posOffset>181610</wp:posOffset>
                </wp:positionV>
                <wp:extent cx="5760720" cy="4572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760720" cy="457200"/>
                        </a:xfrm>
                        <a:prstGeom prst="rect">
                          <a:avLst/>
                        </a:prstGeom>
                        <a:solidFill>
                          <a:prstClr val="white"/>
                        </a:solidFill>
                        <a:ln>
                          <a:noFill/>
                        </a:ln>
                        <a:effectLst/>
                      </wps:spPr>
                      <wps:txbx>
                        <w:txbxContent>
                          <w:p w14:paraId="66EA7167" w14:textId="77777777" w:rsidR="00AD2D2A" w:rsidRPr="00687A0C"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5</w:t>
                            </w:r>
                            <w:r>
                              <w:fldChar w:fldCharType="end"/>
                            </w:r>
                            <w:r>
                              <w:t xml:space="preserve">: </w:t>
                            </w:r>
                            <w:r w:rsidRPr="0060776A">
                              <w:t xml:space="preserve">Résultats selon différent paramètres de </w:t>
                            </w:r>
                            <w:proofErr w:type="spellStart"/>
                            <w:r w:rsidRPr="0060776A">
                              <w:t>misalignement</w:t>
                            </w:r>
                            <w:proofErr w:type="spellEnd"/>
                            <w:r w:rsidRPr="0060776A">
                              <w:t xml:space="preserve"> et de seuil de </w:t>
                            </w:r>
                            <w:proofErr w:type="spellStart"/>
                            <w:r w:rsidRPr="0060776A">
                              <w:t>trimming</w:t>
                            </w:r>
                            <w:proofErr w:type="spellEnd"/>
                            <w:r w:rsidRPr="0060776A">
                              <w:t xml:space="preserve">, </w:t>
                            </w:r>
                            <w:r>
                              <w:t>après</w:t>
                            </w:r>
                            <w:r w:rsidRPr="0060776A">
                              <w:t xml:space="preserve"> suppression des </w:t>
                            </w:r>
                            <w:proofErr w:type="spellStart"/>
                            <w:r w:rsidRPr="0060776A">
                              <w:t>polyG</w:t>
                            </w:r>
                            <w:proofErr w:type="spellEnd"/>
                            <w:r w:rsidRPr="0060776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CB6549" id="Zone de texte 27" o:spid="_x0000_s1032" type="#_x0000_t202" style="position:absolute;margin-left:40.15pt;margin-top:14.3pt;width:45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" stroked="f">
                <v:textbox inset="0,0,0,0">
                  <w:txbxContent>
                    <w:p w14:paraId="66EA7167" w14:textId="77777777" w:rsidR="00AD2D2A" w:rsidRPr="00687A0C" w:rsidRDefault="00AD2D2A" w:rsidP="00AD2D2A">
                      <w:pPr>
                        <w:pStyle w:val="Lgende"/>
                        <w:rPr>
                          <w:noProof/>
                        </w:rPr>
                      </w:pPr>
                      <w:r>
                        <w:t xml:space="preserve">Tableau </w:t>
                      </w:r>
                      <w:r>
                        <w:fldChar w:fldCharType="begin"/>
                      </w:r>
                      <w:r>
                        <w:instrText xml:space="preserve"> SEQ Tableau \* ARABIC </w:instrText>
                      </w:r>
                      <w:r>
                        <w:fldChar w:fldCharType="separate"/>
                      </w:r>
                      <w:r>
                        <w:rPr>
                          <w:noProof/>
                        </w:rPr>
                        <w:t>5</w:t>
                      </w:r>
                      <w:r>
                        <w:fldChar w:fldCharType="end"/>
                      </w:r>
                      <w:r>
                        <w:t xml:space="preserve">: </w:t>
                      </w:r>
                      <w:r w:rsidRPr="0060776A">
                        <w:t xml:space="preserve">Résultats selon différent paramètres de </w:t>
                      </w:r>
                      <w:proofErr w:type="spellStart"/>
                      <w:r w:rsidRPr="0060776A">
                        <w:t>misalignement</w:t>
                      </w:r>
                      <w:proofErr w:type="spellEnd"/>
                      <w:r w:rsidRPr="0060776A">
                        <w:t xml:space="preserve"> et de seuil de </w:t>
                      </w:r>
                      <w:proofErr w:type="spellStart"/>
                      <w:r w:rsidRPr="0060776A">
                        <w:t>trimming</w:t>
                      </w:r>
                      <w:proofErr w:type="spellEnd"/>
                      <w:r w:rsidRPr="0060776A">
                        <w:t xml:space="preserve">, </w:t>
                      </w:r>
                      <w:r>
                        <w:t>après</w:t>
                      </w:r>
                      <w:r w:rsidRPr="0060776A">
                        <w:t xml:space="preserve"> suppression des </w:t>
                      </w:r>
                      <w:proofErr w:type="spellStart"/>
                      <w:r w:rsidRPr="0060776A">
                        <w:t>polyG</w:t>
                      </w:r>
                      <w:proofErr w:type="spellEnd"/>
                      <w:r w:rsidRPr="0060776A">
                        <w:t>.</w:t>
                      </w:r>
                    </w:p>
                  </w:txbxContent>
                </v:textbox>
                <w10:wrap type="square"/>
              </v:shape>
            </w:pict>
          </mc:Fallback>
        </mc:AlternateContent>
      </w:r>
    </w:p>
    <w:p w14:paraId="70E59DB0" w14:textId="77777777" w:rsidR="00AD2D2A" w:rsidRPr="00730010" w:rsidRDefault="00AD2D2A" w:rsidP="00AD2D2A">
      <w:pPr>
        <w:rPr>
          <w:lang w:val="en-US"/>
        </w:rPr>
      </w:pPr>
    </w:p>
    <w:p w14:paraId="33DF64CC"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74624" behindDoc="0" locked="0" layoutInCell="1" allowOverlap="1" wp14:anchorId="11D58961" wp14:editId="4803FA72">
                <wp:simplePos x="0" y="0"/>
                <wp:positionH relativeFrom="column">
                  <wp:posOffset>424180</wp:posOffset>
                </wp:positionH>
                <wp:positionV relativeFrom="paragraph">
                  <wp:posOffset>2393950</wp:posOffset>
                </wp:positionV>
                <wp:extent cx="576072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9F7F08B" w14:textId="77777777" w:rsidR="00AD2D2A" w:rsidRPr="00FF61CC"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 </w:t>
                            </w:r>
                            <w:r w:rsidRPr="00C520FF">
                              <w:t xml:space="preserve">Résultat de </w:t>
                            </w:r>
                            <w:proofErr w:type="spellStart"/>
                            <w:r w:rsidRPr="00C520FF">
                              <w:t>KmerGenie</w:t>
                            </w:r>
                            <w:proofErr w:type="spellEnd"/>
                            <w:r w:rsidRPr="00C520FF">
                              <w:t xml:space="preserve"> pour un </w:t>
                            </w:r>
                            <w:proofErr w:type="spellStart"/>
                            <w:r w:rsidRPr="00C520FF">
                              <w:t>trimming</w:t>
                            </w:r>
                            <w:proofErr w:type="spellEnd"/>
                            <w:r w:rsidRPr="00C520FF">
                              <w:t xml:space="preserve"> à 115 (gauche) et à 140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58961" id="Zone de texte 30" o:spid="_x0000_s1033" type="#_x0000_t202" style="position:absolute;margin-left:33.4pt;margin-top:188.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" stroked="f">
                <v:textbox style="mso-fit-shape-to-text:t" inset="0,0,0,0">
                  <w:txbxContent>
                    <w:p w14:paraId="59F7F08B" w14:textId="77777777" w:rsidR="00AD2D2A" w:rsidRPr="00FF61CC"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 </w:t>
                      </w:r>
                      <w:r w:rsidRPr="00C520FF">
                        <w:t xml:space="preserve">Résultat de </w:t>
                      </w:r>
                      <w:proofErr w:type="spellStart"/>
                      <w:r w:rsidRPr="00C520FF">
                        <w:t>KmerGenie</w:t>
                      </w:r>
                      <w:proofErr w:type="spellEnd"/>
                      <w:r w:rsidRPr="00C520FF">
                        <w:t xml:space="preserve"> pour un </w:t>
                      </w:r>
                      <w:proofErr w:type="spellStart"/>
                      <w:r w:rsidRPr="00C520FF">
                        <w:t>trimming</w:t>
                      </w:r>
                      <w:proofErr w:type="spellEnd"/>
                      <w:r w:rsidRPr="00C520FF">
                        <w:t xml:space="preserve"> à 115 (gauche) et à 140 (droite).</w:t>
                      </w:r>
                    </w:p>
                  </w:txbxContent>
                </v:textbox>
                <w10:wrap type="square"/>
              </v:shape>
            </w:pict>
          </mc:Fallback>
        </mc:AlternateContent>
      </w:r>
      <w:r>
        <w:rPr>
          <w:noProof/>
          <w:lang w:eastAsia="fr-FR"/>
        </w:rPr>
        <w:drawing>
          <wp:anchor distT="0" distB="0" distL="114300" distR="114300" simplePos="0" relativeHeight="251673600" behindDoc="0" locked="0" layoutInCell="1" allowOverlap="1" wp14:anchorId="5BABC7B2" wp14:editId="6818E129">
            <wp:simplePos x="0" y="0"/>
            <wp:positionH relativeFrom="column">
              <wp:posOffset>424180</wp:posOffset>
            </wp:positionH>
            <wp:positionV relativeFrom="paragraph">
              <wp:posOffset>63500</wp:posOffset>
            </wp:positionV>
            <wp:extent cx="5760720" cy="227330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rgeni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73300"/>
                    </a:xfrm>
                    <a:prstGeom prst="rect">
                      <a:avLst/>
                    </a:prstGeom>
                  </pic:spPr>
                </pic:pic>
              </a:graphicData>
            </a:graphic>
            <wp14:sizeRelH relativeFrom="page">
              <wp14:pctWidth>0</wp14:pctWidth>
            </wp14:sizeRelH>
            <wp14:sizeRelV relativeFrom="page">
              <wp14:pctHeight>0</wp14:pctHeight>
            </wp14:sizeRelV>
          </wp:anchor>
        </w:drawing>
      </w:r>
    </w:p>
    <w:p w14:paraId="1C2AA354" w14:textId="77777777" w:rsidR="00AD2D2A" w:rsidRPr="00730010" w:rsidRDefault="00AD2D2A" w:rsidP="00AD2D2A">
      <w:pPr>
        <w:rPr>
          <w:lang w:val="en-US"/>
        </w:rPr>
      </w:pPr>
    </w:p>
    <w:p w14:paraId="2AC8905A" w14:textId="77777777" w:rsidR="00AD2D2A" w:rsidRPr="00730010" w:rsidRDefault="00AD2D2A" w:rsidP="00AD2D2A">
      <w:pPr>
        <w:rPr>
          <w:lang w:val="en-US"/>
        </w:rPr>
      </w:pPr>
    </w:p>
    <w:p w14:paraId="6B56A76E" w14:textId="77777777" w:rsidR="00AD2D2A" w:rsidRPr="00730010" w:rsidRDefault="00AD2D2A" w:rsidP="00AD2D2A">
      <w:pPr>
        <w:rPr>
          <w:lang w:val="en-US"/>
        </w:rPr>
      </w:pPr>
    </w:p>
    <w:p w14:paraId="766225E3" w14:textId="77777777" w:rsidR="00AD2D2A" w:rsidRPr="00730010" w:rsidRDefault="00AD2D2A" w:rsidP="00AD2D2A">
      <w:pPr>
        <w:rPr>
          <w:lang w:val="en-US"/>
        </w:rPr>
      </w:pPr>
    </w:p>
    <w:p w14:paraId="2E546A48" w14:textId="77777777" w:rsidR="00AD2D2A" w:rsidRPr="00730010" w:rsidRDefault="00AD2D2A" w:rsidP="00AD2D2A">
      <w:pPr>
        <w:rPr>
          <w:lang w:val="en-US"/>
        </w:rPr>
      </w:pPr>
    </w:p>
    <w:p w14:paraId="777E0686" w14:textId="77777777" w:rsidR="00AD2D2A" w:rsidRPr="00730010" w:rsidRDefault="00AD2D2A" w:rsidP="00AD2D2A">
      <w:pPr>
        <w:rPr>
          <w:lang w:val="en-US"/>
        </w:rPr>
      </w:pPr>
    </w:p>
    <w:p w14:paraId="38CD2FA0" w14:textId="77777777" w:rsidR="00AD2D2A" w:rsidRPr="00730010" w:rsidRDefault="00AD2D2A" w:rsidP="00AD2D2A">
      <w:pPr>
        <w:rPr>
          <w:lang w:val="en-US"/>
        </w:rPr>
      </w:pPr>
    </w:p>
    <w:p w14:paraId="32A8EB29" w14:textId="77777777" w:rsidR="00AD2D2A" w:rsidRPr="00730010" w:rsidRDefault="00AD2D2A" w:rsidP="00AD2D2A">
      <w:pPr>
        <w:rPr>
          <w:lang w:val="en-US"/>
        </w:rPr>
      </w:pPr>
    </w:p>
    <w:p w14:paraId="15525C2A" w14:textId="77777777" w:rsidR="00AD2D2A" w:rsidRPr="00730010" w:rsidRDefault="00AD2D2A" w:rsidP="00AD2D2A">
      <w:pPr>
        <w:rPr>
          <w:lang w:val="en-US"/>
        </w:rPr>
      </w:pPr>
      <w:r>
        <w:rPr>
          <w:noProof/>
          <w:lang w:eastAsia="fr-FR"/>
        </w:rPr>
        <mc:AlternateContent>
          <mc:Choice Requires="wps">
            <w:drawing>
              <wp:anchor distT="0" distB="0" distL="114300" distR="114300" simplePos="0" relativeHeight="251676672" behindDoc="0" locked="0" layoutInCell="1" allowOverlap="1" wp14:anchorId="1D82D882" wp14:editId="3FB8BB4F">
                <wp:simplePos x="0" y="0"/>
                <wp:positionH relativeFrom="column">
                  <wp:posOffset>328930</wp:posOffset>
                </wp:positionH>
                <wp:positionV relativeFrom="paragraph">
                  <wp:posOffset>2766695</wp:posOffset>
                </wp:positionV>
                <wp:extent cx="5760720" cy="635"/>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860FFC2" w14:textId="77777777" w:rsidR="00AD2D2A" w:rsidRPr="00FC4A4D"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 </w:t>
                            </w:r>
                            <w:r w:rsidRPr="00DF03C1">
                              <w:t xml:space="preserve">Résultats de </w:t>
                            </w:r>
                            <w:proofErr w:type="spellStart"/>
                            <w:r w:rsidRPr="00DF03C1">
                              <w:t>KmerGenie</w:t>
                            </w:r>
                            <w:proofErr w:type="spellEnd"/>
                            <w:r w:rsidRPr="00DF03C1">
                              <w:t xml:space="preserve"> après correction des </w:t>
                            </w:r>
                            <w:proofErr w:type="spellStart"/>
                            <w:r w:rsidRPr="00DF03C1">
                              <w:t>reads</w:t>
                            </w:r>
                            <w:proofErr w:type="spellEnd"/>
                            <w:r w:rsidRPr="00DF03C1">
                              <w:t xml:space="preserve"> par </w:t>
                            </w:r>
                            <w:proofErr w:type="spellStart"/>
                            <w:r w:rsidRPr="00DF03C1">
                              <w:t>Lighter</w:t>
                            </w:r>
                            <w:proofErr w:type="spellEnd"/>
                            <w:r w:rsidRPr="00DF03C1">
                              <w:t xml:space="preserve">, pour un </w:t>
                            </w:r>
                            <w:proofErr w:type="spellStart"/>
                            <w:r w:rsidRPr="00DF03C1">
                              <w:t>trimming</w:t>
                            </w:r>
                            <w:proofErr w:type="spellEnd"/>
                            <w:r w:rsidRPr="00DF03C1">
                              <w:t xml:space="preserve"> à 115 (gauche) et à 140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2D882" id="Zone de texte 32" o:spid="_x0000_s1034" type="#_x0000_t202" style="position:absolute;margin-left:25.9pt;margin-top:217.85pt;width:453.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" stroked="f">
                <v:textbox style="mso-fit-shape-to-text:t" inset="0,0,0,0">
                  <w:txbxContent>
                    <w:p w14:paraId="3860FFC2" w14:textId="77777777" w:rsidR="00AD2D2A" w:rsidRPr="00FC4A4D" w:rsidRDefault="00AD2D2A" w:rsidP="00AD2D2A">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 </w:t>
                      </w:r>
                      <w:r w:rsidRPr="00DF03C1">
                        <w:t xml:space="preserve">Résultats de </w:t>
                      </w:r>
                      <w:proofErr w:type="spellStart"/>
                      <w:r w:rsidRPr="00DF03C1">
                        <w:t>KmerGenie</w:t>
                      </w:r>
                      <w:proofErr w:type="spellEnd"/>
                      <w:r w:rsidRPr="00DF03C1">
                        <w:t xml:space="preserve"> après correction des </w:t>
                      </w:r>
                      <w:proofErr w:type="spellStart"/>
                      <w:r w:rsidRPr="00DF03C1">
                        <w:t>reads</w:t>
                      </w:r>
                      <w:proofErr w:type="spellEnd"/>
                      <w:r w:rsidRPr="00DF03C1">
                        <w:t xml:space="preserve"> par </w:t>
                      </w:r>
                      <w:proofErr w:type="spellStart"/>
                      <w:r w:rsidRPr="00DF03C1">
                        <w:t>Lighter</w:t>
                      </w:r>
                      <w:proofErr w:type="spellEnd"/>
                      <w:r w:rsidRPr="00DF03C1">
                        <w:t xml:space="preserve">, pour un </w:t>
                      </w:r>
                      <w:proofErr w:type="spellStart"/>
                      <w:r w:rsidRPr="00DF03C1">
                        <w:t>trimming</w:t>
                      </w:r>
                      <w:proofErr w:type="spellEnd"/>
                      <w:r w:rsidRPr="00DF03C1">
                        <w:t xml:space="preserve"> à 115 (gauche) et à 140 (droite).</w:t>
                      </w:r>
                    </w:p>
                  </w:txbxContent>
                </v:textbox>
                <w10:wrap type="square"/>
              </v:shape>
            </w:pict>
          </mc:Fallback>
        </mc:AlternateContent>
      </w:r>
      <w:r>
        <w:rPr>
          <w:noProof/>
          <w:lang w:eastAsia="fr-FR"/>
        </w:rPr>
        <w:drawing>
          <wp:anchor distT="0" distB="0" distL="114300" distR="114300" simplePos="0" relativeHeight="251675648" behindDoc="0" locked="0" layoutInCell="1" allowOverlap="1" wp14:anchorId="2CF69580" wp14:editId="0AD21423">
            <wp:simplePos x="0" y="0"/>
            <wp:positionH relativeFrom="column">
              <wp:posOffset>243205</wp:posOffset>
            </wp:positionH>
            <wp:positionV relativeFrom="paragraph">
              <wp:posOffset>205105</wp:posOffset>
            </wp:positionV>
            <wp:extent cx="5760720" cy="2433320"/>
            <wp:effectExtent l="0" t="0" r="0" b="508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rgenieCORRECTE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433320"/>
                    </a:xfrm>
                    <a:prstGeom prst="rect">
                      <a:avLst/>
                    </a:prstGeom>
                  </pic:spPr>
                </pic:pic>
              </a:graphicData>
            </a:graphic>
            <wp14:sizeRelH relativeFrom="page">
              <wp14:pctWidth>0</wp14:pctWidth>
            </wp14:sizeRelH>
            <wp14:sizeRelV relativeFrom="page">
              <wp14:pctHeight>0</wp14:pctHeight>
            </wp14:sizeRelV>
          </wp:anchor>
        </w:drawing>
      </w:r>
    </w:p>
    <w:p w14:paraId="13A669B0" w14:textId="77777777" w:rsidR="00AD2D2A" w:rsidRPr="00730010" w:rsidRDefault="00AD2D2A" w:rsidP="00AD2D2A">
      <w:pPr>
        <w:rPr>
          <w:lang w:val="en-US"/>
        </w:rPr>
      </w:pPr>
    </w:p>
    <w:p w14:paraId="723141C7" w14:textId="77777777" w:rsidR="00AD2D2A" w:rsidRDefault="00AD2D2A" w:rsidP="00AD2D2A">
      <w:r>
        <w:rPr>
          <w:noProof/>
          <w:lang w:eastAsia="fr-FR"/>
        </w:rPr>
        <w:lastRenderedPageBreak/>
        <w:drawing>
          <wp:inline distT="0" distB="0" distL="0" distR="0" wp14:anchorId="385B44E1" wp14:editId="206E2E21">
            <wp:extent cx="5760720" cy="20599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nopore sensin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059940"/>
                    </a:xfrm>
                    <a:prstGeom prst="rect">
                      <a:avLst/>
                    </a:prstGeom>
                  </pic:spPr>
                </pic:pic>
              </a:graphicData>
            </a:graphic>
          </wp:inline>
        </w:drawing>
      </w:r>
    </w:p>
    <w:p w14:paraId="66B55C03" w14:textId="77777777" w:rsidR="00AD2D2A" w:rsidRDefault="00AD2D2A" w:rsidP="00AD2D2A"/>
    <w:p w14:paraId="5697CE82" w14:textId="77777777" w:rsidR="00AD2D2A" w:rsidRDefault="00AD2D2A" w:rsidP="00AD2D2A"/>
    <w:p w14:paraId="18DA2EE4" w14:textId="77777777" w:rsidR="00AD2D2A" w:rsidRPr="00AD2D2A" w:rsidRDefault="00AD2D2A" w:rsidP="00AD2D2A"/>
    <w:sectPr w:rsidR="00AD2D2A" w:rsidRPr="00AD2D2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INET MARTIN" w:date="2018-03-08T10:51:00Z" w:initials="BM">
    <w:p w14:paraId="3DEC58EB" w14:textId="77777777" w:rsidR="00AD2D2A" w:rsidRDefault="00AD2D2A" w:rsidP="00AD2D2A">
      <w:pPr>
        <w:pStyle w:val="Commentaire"/>
      </w:pPr>
      <w:r>
        <w:rPr>
          <w:rStyle w:val="Marquedecommentaire"/>
        </w:rPr>
        <w:annotationRef/>
      </w:r>
      <w:r>
        <w:t>De quelle manière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EC58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E0C57"/>
    <w:multiLevelType w:val="multilevel"/>
    <w:tmpl w:val="43A0A02E"/>
    <w:lvl w:ilvl="0">
      <w:start w:val="1"/>
      <w:numFmt w:val="decimal"/>
      <w:pStyle w:val="Titre1"/>
      <w:suff w:val="space"/>
      <w:lvlText w:val="%1 -"/>
      <w:lvlJc w:val="left"/>
      <w:pPr>
        <w:ind w:left="431" w:hanging="431"/>
      </w:pPr>
      <w:rPr>
        <w:rFonts w:hint="default"/>
      </w:rPr>
    </w:lvl>
    <w:lvl w:ilvl="1">
      <w:start w:val="1"/>
      <w:numFmt w:val="decimal"/>
      <w:pStyle w:val="Titre2"/>
      <w:suff w:val="space"/>
      <w:lvlText w:val="%1.%2 -"/>
      <w:lvlJc w:val="left"/>
      <w:pPr>
        <w:ind w:left="998" w:hanging="431"/>
      </w:pPr>
      <w:rPr>
        <w:rFonts w:hint="default"/>
      </w:rPr>
    </w:lvl>
    <w:lvl w:ilvl="2">
      <w:start w:val="1"/>
      <w:numFmt w:val="decimal"/>
      <w:pStyle w:val="Titre3"/>
      <w:suff w:val="space"/>
      <w:lvlText w:val="%1.%2.%3 -"/>
      <w:lvlJc w:val="left"/>
      <w:pPr>
        <w:ind w:left="1565" w:hanging="431"/>
      </w:pPr>
      <w:rPr>
        <w:rFonts w:hint="default"/>
      </w:rPr>
    </w:lvl>
    <w:lvl w:ilvl="3">
      <w:start w:val="1"/>
      <w:numFmt w:val="decimal"/>
      <w:pStyle w:val="Titre4"/>
      <w:suff w:val="space"/>
      <w:lvlText w:val="%1.%2.%3.%4 -"/>
      <w:lvlJc w:val="left"/>
      <w:pPr>
        <w:ind w:left="2132" w:hanging="431"/>
      </w:pPr>
      <w:rPr>
        <w:rFonts w:hint="default"/>
      </w:rPr>
    </w:lvl>
    <w:lvl w:ilvl="4">
      <w:start w:val="1"/>
      <w:numFmt w:val="decimal"/>
      <w:pStyle w:val="Titre5"/>
      <w:lvlText w:val="%1.%2.%3.%4.%5"/>
      <w:lvlJc w:val="left"/>
      <w:pPr>
        <w:ind w:left="2699" w:hanging="431"/>
      </w:pPr>
      <w:rPr>
        <w:rFonts w:hint="default"/>
      </w:rPr>
    </w:lvl>
    <w:lvl w:ilvl="5">
      <w:start w:val="1"/>
      <w:numFmt w:val="decimal"/>
      <w:pStyle w:val="Titre6"/>
      <w:lvlText w:val="%1.%2.%3.%4.%5.%6"/>
      <w:lvlJc w:val="left"/>
      <w:pPr>
        <w:ind w:left="3266" w:hanging="431"/>
      </w:pPr>
      <w:rPr>
        <w:rFonts w:hint="default"/>
      </w:rPr>
    </w:lvl>
    <w:lvl w:ilvl="6">
      <w:start w:val="1"/>
      <w:numFmt w:val="decimal"/>
      <w:pStyle w:val="Titre7"/>
      <w:lvlText w:val="%1.%2.%3.%4.%5.%6.%7"/>
      <w:lvlJc w:val="left"/>
      <w:pPr>
        <w:ind w:left="3833" w:hanging="431"/>
      </w:pPr>
      <w:rPr>
        <w:rFonts w:hint="default"/>
      </w:rPr>
    </w:lvl>
    <w:lvl w:ilvl="7">
      <w:start w:val="1"/>
      <w:numFmt w:val="decimal"/>
      <w:pStyle w:val="Titre8"/>
      <w:lvlText w:val="%1.%2.%3.%4.%5.%6.%7.%8"/>
      <w:lvlJc w:val="left"/>
      <w:pPr>
        <w:ind w:left="4400" w:hanging="431"/>
      </w:pPr>
      <w:rPr>
        <w:rFonts w:hint="default"/>
      </w:rPr>
    </w:lvl>
    <w:lvl w:ilvl="8">
      <w:start w:val="1"/>
      <w:numFmt w:val="decimal"/>
      <w:pStyle w:val="Titre9"/>
      <w:lvlText w:val="%1.%2.%3.%4.%5.%6.%7.%8.%9"/>
      <w:lvlJc w:val="left"/>
      <w:pPr>
        <w:ind w:left="4967" w:hanging="431"/>
      </w:pPr>
      <w:rPr>
        <w:rFonts w:hint="default"/>
      </w:rPr>
    </w:lvl>
  </w:abstractNum>
  <w:abstractNum w:abstractNumId="1" w15:restartNumberingAfterBreak="0">
    <w:nsid w:val="38FF3C3A"/>
    <w:multiLevelType w:val="hybridMultilevel"/>
    <w:tmpl w:val="51E06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901C56"/>
    <w:multiLevelType w:val="multilevel"/>
    <w:tmpl w:val="ADFC12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751D85"/>
    <w:multiLevelType w:val="hybridMultilevel"/>
    <w:tmpl w:val="7C124638"/>
    <w:lvl w:ilvl="0" w:tplc="5DD41498">
      <w:start w:val="2"/>
      <w:numFmt w:val="bullet"/>
      <w:lvlText w:val=""/>
      <w:lvlJc w:val="left"/>
      <w:pPr>
        <w:ind w:left="720" w:hanging="360"/>
      </w:pPr>
      <w:rPr>
        <w:rFonts w:ascii="Wingdings" w:eastAsia="Times New Roman"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BD3C1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NET MARTIN">
    <w15:presenceInfo w15:providerId="AD" w15:userId="S-1-5-21-1644491937-813497703-1060284298-18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19"/>
    <w:rsid w:val="001B0736"/>
    <w:rsid w:val="002F5BA4"/>
    <w:rsid w:val="002F6302"/>
    <w:rsid w:val="00464537"/>
    <w:rsid w:val="00AD2D2A"/>
    <w:rsid w:val="00B5287A"/>
    <w:rsid w:val="00DE0019"/>
    <w:rsid w:val="00E54758"/>
    <w:rsid w:val="00FE7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195"/>
  <w15:chartTrackingRefBased/>
  <w15:docId w15:val="{8AABD68E-A7A9-4DA9-845F-544A5A60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0019"/>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0019"/>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E0019"/>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E0019"/>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E0019"/>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E0019"/>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E0019"/>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E001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E001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00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E001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E001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E001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E001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E001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E001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E001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E0019"/>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AD2D2A"/>
    <w:rPr>
      <w:sz w:val="16"/>
      <w:szCs w:val="16"/>
    </w:rPr>
  </w:style>
  <w:style w:type="paragraph" w:styleId="Commentaire">
    <w:name w:val="annotation text"/>
    <w:basedOn w:val="Normal"/>
    <w:link w:val="CommentaireCar"/>
    <w:uiPriority w:val="99"/>
    <w:semiHidden/>
    <w:unhideWhenUsed/>
    <w:rsid w:val="00AD2D2A"/>
    <w:pPr>
      <w:spacing w:line="240" w:lineRule="auto"/>
      <w:jc w:val="both"/>
    </w:pPr>
    <w:rPr>
      <w:sz w:val="20"/>
      <w:szCs w:val="20"/>
    </w:rPr>
  </w:style>
  <w:style w:type="character" w:customStyle="1" w:styleId="CommentaireCar">
    <w:name w:val="Commentaire Car"/>
    <w:basedOn w:val="Policepardfaut"/>
    <w:link w:val="Commentaire"/>
    <w:uiPriority w:val="99"/>
    <w:semiHidden/>
    <w:rsid w:val="00AD2D2A"/>
    <w:rPr>
      <w:sz w:val="20"/>
      <w:szCs w:val="20"/>
    </w:rPr>
  </w:style>
  <w:style w:type="paragraph" w:styleId="Textedebulles">
    <w:name w:val="Balloon Text"/>
    <w:basedOn w:val="Normal"/>
    <w:link w:val="TextedebullesCar"/>
    <w:uiPriority w:val="99"/>
    <w:semiHidden/>
    <w:unhideWhenUsed/>
    <w:rsid w:val="00AD2D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2D2A"/>
    <w:rPr>
      <w:rFonts w:ascii="Segoe UI" w:hAnsi="Segoe UI" w:cs="Segoe UI"/>
      <w:sz w:val="18"/>
      <w:szCs w:val="18"/>
    </w:rPr>
  </w:style>
  <w:style w:type="paragraph" w:styleId="Paragraphedeliste">
    <w:name w:val="List Paragraph"/>
    <w:basedOn w:val="Normal"/>
    <w:uiPriority w:val="34"/>
    <w:qFormat/>
    <w:rsid w:val="00AD2D2A"/>
    <w:pPr>
      <w:ind w:left="720"/>
      <w:contextualSpacing/>
      <w:jc w:val="both"/>
    </w:pPr>
  </w:style>
  <w:style w:type="paragraph" w:styleId="Lgende">
    <w:name w:val="caption"/>
    <w:basedOn w:val="Normal"/>
    <w:next w:val="Normal"/>
    <w:uiPriority w:val="35"/>
    <w:unhideWhenUsed/>
    <w:qFormat/>
    <w:rsid w:val="00AD2D2A"/>
    <w:pPr>
      <w:spacing w:after="200" w:line="240" w:lineRule="auto"/>
      <w:jc w:val="both"/>
    </w:pPr>
    <w:rPr>
      <w:i/>
      <w:iCs/>
      <w:color w:val="44546A" w:themeColor="text2"/>
      <w:sz w:val="18"/>
      <w:szCs w:val="18"/>
    </w:rPr>
  </w:style>
  <w:style w:type="paragraph" w:styleId="En-ttedetabledesmatires">
    <w:name w:val="TOC Heading"/>
    <w:basedOn w:val="Titre1"/>
    <w:next w:val="Normal"/>
    <w:uiPriority w:val="39"/>
    <w:unhideWhenUsed/>
    <w:qFormat/>
    <w:rsid w:val="00AD2D2A"/>
    <w:pPr>
      <w:numPr>
        <w:numId w:val="0"/>
      </w:numPr>
      <w:outlineLvl w:val="9"/>
    </w:pPr>
    <w:rPr>
      <w:lang w:eastAsia="fr-FR"/>
    </w:rPr>
  </w:style>
  <w:style w:type="paragraph" w:styleId="TM1">
    <w:name w:val="toc 1"/>
    <w:basedOn w:val="Normal"/>
    <w:next w:val="Normal"/>
    <w:autoRedefine/>
    <w:uiPriority w:val="39"/>
    <w:unhideWhenUsed/>
    <w:rsid w:val="00AD2D2A"/>
    <w:pPr>
      <w:spacing w:after="100"/>
    </w:pPr>
  </w:style>
  <w:style w:type="paragraph" w:styleId="TM2">
    <w:name w:val="toc 2"/>
    <w:basedOn w:val="Normal"/>
    <w:next w:val="Normal"/>
    <w:autoRedefine/>
    <w:uiPriority w:val="39"/>
    <w:unhideWhenUsed/>
    <w:rsid w:val="00AD2D2A"/>
    <w:pPr>
      <w:spacing w:after="100"/>
      <w:ind w:left="220"/>
    </w:pPr>
  </w:style>
  <w:style w:type="paragraph" w:styleId="TM3">
    <w:name w:val="toc 3"/>
    <w:basedOn w:val="Normal"/>
    <w:next w:val="Normal"/>
    <w:autoRedefine/>
    <w:uiPriority w:val="39"/>
    <w:unhideWhenUsed/>
    <w:rsid w:val="00AD2D2A"/>
    <w:pPr>
      <w:spacing w:after="100"/>
      <w:ind w:left="440"/>
    </w:pPr>
  </w:style>
  <w:style w:type="character" w:styleId="Lienhypertexte">
    <w:name w:val="Hyperlink"/>
    <w:basedOn w:val="Policepardfaut"/>
    <w:uiPriority w:val="99"/>
    <w:unhideWhenUsed/>
    <w:rsid w:val="00AD2D2A"/>
    <w:rPr>
      <w:color w:val="0563C1" w:themeColor="hyperlink"/>
      <w:u w:val="single"/>
    </w:rPr>
  </w:style>
  <w:style w:type="paragraph" w:styleId="Bibliographie">
    <w:name w:val="Bibliography"/>
    <w:basedOn w:val="Normal"/>
    <w:next w:val="Normal"/>
    <w:uiPriority w:val="37"/>
    <w:unhideWhenUsed/>
    <w:rsid w:val="002F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DA4F6-3B69-4E50-A38B-42B4D3CE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4976</Words>
  <Characters>27368</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32280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BINET MARTIN</dc:creator>
  <cp:keywords/>
  <dc:description/>
  <cp:lastModifiedBy>BINET MARTIN</cp:lastModifiedBy>
  <cp:revision>2</cp:revision>
  <dcterms:created xsi:type="dcterms:W3CDTF">2018-04-30T08:01:00Z</dcterms:created>
  <dcterms:modified xsi:type="dcterms:W3CDTF">2018-04-30T10:32:00Z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id="fju7cc5u"/&gt;&lt;style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