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Регламент оповещений об инцидентах FinPay</w:t>
      </w:r>
    </w:p>
    <w:p>
      <w:pPr>
        <w:pStyle w:val="Heading2"/>
      </w:pPr>
      <w:r>
        <w:t>Каналы оповещения</w:t>
      </w:r>
    </w:p>
    <w:p>
      <w:r>
        <w:t>Оповещения об инцидентах, влияющих на мерчантов, публикуются одновременно в трёх каналах: status.finpay.ru, email на технический контакт аккаунта, и push-уведомление в личном кабинете.</w:t>
      </w:r>
    </w:p>
    <w:p>
      <w:pPr>
        <w:pStyle w:val="Heading2"/>
      </w:pPr>
      <w:r>
        <w:t>Пороговое условие для оповещения</w:t>
      </w:r>
    </w:p>
    <w:p>
      <w:r>
        <w:t>Оповещение отправляется автоматически, если инцидент затрагивает более 1% транзакций в течение более 5 минут подряд, либо при полной недоступности любого из ключевых компонентов (см. data/incidents/02_status_page.html) вне зависимости от длительности.</w:t>
      </w:r>
    </w:p>
    <w:p>
      <w:pPr>
        <w:pStyle w:val="Heading2"/>
      </w:pPr>
      <w:r>
        <w:t>Периодичность обновлений</w:t>
      </w:r>
    </w:p>
    <w:p>
      <w:r>
        <w:t>Пока инцидент активен, обновления публикуются не реже раза в 30 минут. После устранения — финальное обновление с кратким описанием причины и, при необходимости, ссылкой на публичный постмортем.</w:t>
      </w:r>
    </w:p>
    <w:p>
      <w:pPr>
        <w:pStyle w:val="Heading2"/>
      </w:pPr>
      <w:r>
        <w:t>Персональные оповещения для крупных мерчантов</w:t>
      </w:r>
    </w:p>
    <w:p>
      <w:r>
        <w:t>Мерчанты с тарифом «Корпоративный» и выше дополнительно получают прямой звонок от персонального менеджера при инцидентах уровня P1, затрагивающих их операции — в дополнение к общим каналам оповещения.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