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SLA по времени восстановления после инцидентов</w:t>
      </w:r>
    </w:p>
    <w:p>
      <w:pPr>
        <w:pStyle w:val="Heading2"/>
      </w:pPr>
      <w:r>
        <w:t>Целевое время восстановления (RTO)</w:t>
      </w:r>
    </w:p>
    <w:p>
      <w:r>
        <w:t>Для API приёма платежей целевое время восстановления после полного отказа — 30 минут. Для вспомогательных компонентов (личный кабинет, доставка вебхуков) — 2 часа.</w:t>
      </w:r>
    </w:p>
    <w:p>
      <w:pPr>
        <w:pStyle w:val="Heading2"/>
      </w:pPr>
      <w:r>
        <w:t>Целевая точка восстановления (RPO)</w:t>
      </w:r>
    </w:p>
    <w:p>
      <w:r>
        <w:t>Максимально допустимая потеря данных при аварийном восстановлении из резервных копий — 5 минут для транзакционных данных, обеспечивается непрерывной репликацией базы данных платежей в резервный дата-центр.</w:t>
      </w:r>
    </w:p>
    <w:p>
      <w:pPr>
        <w:pStyle w:val="Heading2"/>
      </w:pPr>
      <w:r>
        <w:t>Компенсации при нарушении SLA</w:t>
      </w:r>
    </w:p>
    <w:p>
      <w:r>
        <w:t>При превышении целевого времени восстановления API приёма платежей более чем в 2 раза (от 60 минут) мерчантам с тарифом «Корпоративный» и выше предоставляется компенсация в виде снижения комиссии на 0.1 процентного пункта на следующий расчётный месяц.</w:t>
      </w:r>
    </w:p>
    <w:p>
      <w:pPr>
        <w:pStyle w:val="Heading2"/>
      </w:pPr>
      <w:r>
        <w:t>Резервный дата-центр</w:t>
      </w:r>
    </w:p>
    <w:p>
      <w:r>
        <w:t>FinPay поддерживает резервный дата-центр в географически отдельном регионе с автоматическим переключением (failover) при недоступности основного — переключение не требует ручного вмешательства и укладывается в целевые 30 минут RTO.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