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Пользовательское соглашение личного кабинета FinPay</w:t>
      </w:r>
    </w:p>
    <w:p>
      <w:pPr>
        <w:pStyle w:val="Heading2"/>
      </w:pPr>
      <w:r>
        <w:t>Регистрация и учётная запись</w:t>
      </w:r>
    </w:p>
    <w:p>
      <w:r>
        <w:t>Доступ к личному кабинету предоставляется после регистрации и подтверждения контактных данных. Пользователь обязан обеспечивать конфиденциальность пароля и данных двухфакторной аутентификации, не передавать доступ третьим лицам без оформления соответствующей роли.</w:t>
      </w:r>
    </w:p>
    <w:p>
      <w:pPr>
        <w:pStyle w:val="Heading2"/>
      </w:pPr>
      <w:r>
        <w:t>Ролевой доступ</w:t>
      </w:r>
    </w:p>
    <w:p>
      <w:r>
        <w:t>Владелец аккаунта может создавать дополнительные учётные записи с ролями «Финансовый администратор» и «Оператор» (см. data/security/03_password_policy.md). Ответственность за действия, совершённые под учётной записью с ограниченной ролью, несёт владелец аккаунта.</w:t>
      </w:r>
    </w:p>
    <w:p>
      <w:pPr>
        <w:pStyle w:val="Heading2"/>
      </w:pPr>
      <w:r>
        <w:t>Ограничение ответственности за доступ</w:t>
      </w:r>
    </w:p>
    <w:p>
      <w:r>
        <w:t>FinPay не несёт ответственности за последствия использования личного кабинета третьими лицами, получившими доступ вследствие нарушения пользователем правил хранения пароля или отключения двухфакторной аутентификации.</w:t>
      </w:r>
    </w:p>
    <w:p>
      <w:pPr>
        <w:pStyle w:val="Heading2"/>
      </w:pPr>
      <w:r>
        <w:t>Изменение условий соглашения</w:t>
      </w:r>
    </w:p>
    <w:p>
      <w:r>
        <w:t>FinPay вправе изменять условия соглашения с уведомлением пользователей через личный кабинет не менее чем за 14 дней до вступления изменений в силу. Продолжение использования личного кабинета после этого срока считается согласием с новыми условиями.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