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эквайринга FinPay (версия 2)</w:t>
      </w:r>
    </w:p>
    <w:p>
      <w:pPr>
        <w:pStyle w:val="Heading2"/>
      </w:pPr>
      <w:r>
        <w:t>Изменения относительно версии 1</w:t>
      </w:r>
    </w:p>
    <w:p>
      <w:r>
        <w:t>Версия 2 договора эквайринга вводит раздельные условия для интернет-эквайринга и эквайринга через физические терминалы, а также уточняет порядок расчёта комиссии при частичных возвратах — комиссия пересчитывается пропорционально возвращённой сумме.</w:t>
      </w:r>
    </w:p>
    <w:p>
      <w:pPr>
        <w:pStyle w:val="Heading2"/>
      </w:pPr>
      <w:r>
        <w:t>Порядок расчётов</w:t>
      </w:r>
    </w:p>
    <w:p>
      <w:r>
        <w:t>Расчёты между FinPay и мерчантом производятся ежедневно: сумма принятых за операционный день платежей за вычетом комиссии и суммы возвратов зачисляется на расчётный счёт мерчанта на следующий рабочий день.</w:t>
      </w:r>
    </w:p>
    <w:p>
      <w:pPr>
        <w:pStyle w:val="Heading2"/>
      </w:pPr>
      <w:r>
        <w:t>Резервирование средств (holdback)</w:t>
      </w:r>
    </w:p>
    <w:p>
      <w:r>
        <w:t>Для новых мерчантов в первые 90 дней работы FinPay вправе резервировать до 10% от суммы каждой выплаты на срок 30 дней в качестве обеспечения на случай чарджбэков — резерв возвращается автоматически по истечении срока при отсутствии споров по операциям.</w:t>
      </w:r>
    </w:p>
    <w:p>
      <w:pPr>
        <w:pStyle w:val="Heading2"/>
      </w:pPr>
      <w:r>
        <w:t>Расторжение и удержание резерва</w:t>
      </w:r>
    </w:p>
    <w:p>
      <w:r>
        <w:t>При расторжении договора накопленный резерв удерживается FinPay в течение 180 дней с момента последней проведённой операции — срок обусловлен максимальным окном подачи чарджбэка по правилам платёжных систем.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