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Шифрование данных в FinPay</w:t>
      </w:r>
    </w:p>
    <w:p>
      <w:pPr>
        <w:pStyle w:val="Heading2"/>
      </w:pPr>
      <w:r>
        <w:t>Шифрование данных в состоянии покоя</w:t>
      </w:r>
    </w:p>
    <w:p>
      <w:r>
        <w:t>Все платёжные данные (номера карт, реквизиты) хранятся в токенизированном виде — реальный номер карты заменяется токеном, обратное преобразование доступно только внутри изолированного PCI DSS-контура. База данных с токенами шифруется AES-256 на уровне диска.</w:t>
      </w:r>
    </w:p>
    <w:p>
      <w:pPr>
        <w:pStyle w:val="Heading2"/>
      </w:pPr>
      <w:r>
        <w:t>Шифрование данных при передаче</w:t>
      </w:r>
    </w:p>
    <w:p>
      <w:r>
        <w:t>Весь трафик между клиентом, мерчантом и FinPay передаётся по TLS 1.2 или выше. TLS 1.0 и 1.1 отключены на всех публичных эндпоинтах с 2024 года — интеграции на устаревших HTTP-клиентах без поддержки TLS 1.2+ не смогут подключиться к API.</w:t>
      </w:r>
    </w:p>
    <w:p>
      <w:pPr>
        <w:pStyle w:val="Heading2"/>
      </w:pPr>
      <w:r>
        <w:t>Хранение webhook-секретов и API-ключей</w:t>
      </w:r>
    </w:p>
    <w:p>
      <w:r>
        <w:t>Секреты хранятся в отдельном сервисе управления секретами (vault) с шифрованием на уровне приложения — доступ к расшифрованным значениям имеют только сервисы, которым эти секреты нужны для проверки подписей, напрямую из общей базы данных секреты прочитать нельзя.</w:t>
      </w:r>
    </w:p>
    <w:p>
      <w:pPr>
        <w:pStyle w:val="Heading2"/>
      </w:pPr>
      <w:r>
        <w:t>Ключи шифрования и их ротация</w:t>
      </w:r>
    </w:p>
    <w:p>
      <w:r>
        <w:t>Мастер-ключи шифрования хранятся в аппаратном модуле безопасности (HSM), физически изолированном от остальной инфраструктуры. Ротация мастер-ключей проводится не реже раза в год, с сохранением возможности расшифровать исторические данные, зашифрованные предыдущими версиями ключа.</w:t>
      </w:r>
    </w:p>
    <w:p>
      <w:pPr>
        <w:pStyle w:val="Heading2"/>
      </w:pPr>
      <w:r>
        <w:t>Соответствие стандартам</w:t>
      </w:r>
    </w:p>
    <w:p>
      <w:r>
        <w:t>Криптографические практики FinPay проходят ежегодный внешний аудит в рамках сертификации PCI DSS (см. data/compliance/03_pci_dss_levels.docx). Алгоритмы хеширования паролей — bcrypt с фактором стоимости 12, MD5 и SHA-1 не используются нигде в контуре аутентификации.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