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" w:after="40"/>
        <w:jc w:val="center"/>
      </w:pPr>
      <w:r>
        <w:rPr>
          <w:rFonts w:ascii="Calibri" w:hAnsi="Calibri"/>
          <w:b/>
          <w:i w:val="0"/>
          <w:color w:val="A61B1B"/>
          <w:sz w:val="18"/>
        </w:rPr>
        <w:t>STANDARD OPERATING PROCEDURE</w:t>
      </w:r>
    </w:p>
    <w:p>
      <w:pPr>
        <w:spacing w:before="0" w:after="40"/>
        <w:jc w:val="center"/>
      </w:pPr>
      <w:r>
        <w:rPr>
          <w:rFonts w:ascii="Calibri" w:hAnsi="Calibri"/>
          <w:b/>
          <w:i w:val="0"/>
          <w:color w:val="17365D"/>
          <w:sz w:val="42"/>
        </w:rPr>
        <w:t>Transport en leveropvolging</w:t>
      </w:r>
    </w:p>
    <w:p>
      <w:pPr>
        <w:spacing w:before="0" w:after="140"/>
        <w:jc w:val="center"/>
      </w:pPr>
      <w:r>
        <w:rPr>
          <w:rFonts w:ascii="Calibri" w:hAnsi="Calibri"/>
          <w:b w:val="0"/>
          <w:i w:val="0"/>
          <w:color w:val="667085"/>
          <w:sz w:val="19"/>
        </w:rPr>
        <w:t>SOP-011  •  Inco-Source Operations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400"/>
        <w:gridCol w:w="3200"/>
        <w:gridCol w:w="1500"/>
        <w:gridCol w:w="3260"/>
      </w:tblGrid>
      <w:tr>
        <w:trPr>
          <w:tblHeader w:val="true"/>
        </w:trPr>
        <w:tc>
          <w:tcPr>
            <w:tcW w:type="dxa" w:w="1400"/>
            <w:shd w:fill="F2F4F7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Status</w:t>
            </w:r>
          </w:p>
        </w:tc>
        <w:tc>
          <w:tcPr>
            <w:tcW w:type="dxa" w:w="3200"/>
            <w:shd w:fill="FDECEC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A61B1B"/>
                <w:sz w:val="17"/>
              </w:rPr>
              <w:t>Vervallen</w:t>
            </w:r>
          </w:p>
        </w:tc>
        <w:tc>
          <w:tcPr>
            <w:tcW w:type="dxa" w:w="1500"/>
            <w:shd w:fill="F2F4F7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Versie</w:t>
            </w:r>
          </w:p>
        </w:tc>
        <w:tc>
          <w:tcPr>
            <w:tcW w:type="dxa" w:w="32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3.0</w:t>
            </w:r>
          </w:p>
        </w:tc>
      </w:tr>
      <w:tr>
        <w:tc>
          <w:tcPr>
            <w:tcW w:type="dxa" w:w="1400"/>
            <w:shd w:fill="F2F4F7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Eigenaar</w:t>
            </w:r>
          </w:p>
        </w:tc>
        <w:tc>
          <w:tcPr>
            <w:tcW w:type="dxa" w:w="3200"/>
            <w:shd w:fill="FDECEC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A61B1B"/>
                <w:sz w:val="17"/>
              </w:rPr>
              <w:t>Jorn / Hidde</w:t>
            </w:r>
          </w:p>
        </w:tc>
        <w:tc>
          <w:tcPr>
            <w:tcW w:type="dxa" w:w="1500"/>
            <w:shd w:fill="F2F4F7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Categorie</w:t>
            </w:r>
          </w:p>
        </w:tc>
        <w:tc>
          <w:tcPr>
            <w:tcW w:type="dxa" w:w="32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Logistiek &amp; fulfilment</w:t>
            </w:r>
          </w:p>
        </w:tc>
      </w:tr>
      <w:tr>
        <w:tc>
          <w:tcPr>
            <w:tcW w:type="dxa" w:w="1400"/>
            <w:shd w:fill="F2F4F7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Ingangsdatum</w:t>
            </w:r>
          </w:p>
        </w:tc>
        <w:tc>
          <w:tcPr>
            <w:tcW w:type="dxa" w:w="3200"/>
            <w:shd w:fill="FDECEC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A61B1B"/>
                <w:sz w:val="17"/>
              </w:rPr>
              <w:t>21-07-2026</w:t>
            </w:r>
          </w:p>
        </w:tc>
        <w:tc>
          <w:tcPr>
            <w:tcW w:type="dxa" w:w="1500"/>
            <w:shd w:fill="F2F4F7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Beoordeling</w:t>
            </w:r>
          </w:p>
        </w:tc>
        <w:tc>
          <w:tcPr>
            <w:tcW w:type="dxa" w:w="32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Niet van toepassing</w:t>
            </w:r>
          </w:p>
        </w:tc>
      </w:tr>
    </w:tbl>
    <w:p>
      <w:pPr>
        <w:spacing w:before="60" w:after="120" w:line="252" w:lineRule="auto"/>
        <w:ind w:left="144" w:right="144"/>
        <w:shd w:fill="FDECEC"/>
      </w:pPr>
      <w:r>
        <w:rPr>
          <w:rFonts w:ascii="Calibri" w:hAnsi="Calibri"/>
          <w:b/>
          <w:i w:val="0"/>
          <w:color w:val="A61B1B"/>
          <w:sz w:val="20"/>
        </w:rPr>
        <w:t xml:space="preserve">STATUS: VERVALLEN  </w:t>
      </w:r>
      <w:r>
        <w:rPr>
          <w:rFonts w:ascii="Calibri" w:hAnsi="Calibri"/>
          <w:b w:val="0"/>
          <w:i w:val="0"/>
          <w:color w:val="1F2937"/>
          <w:sz w:val="20"/>
        </w:rPr>
        <w:t>Gebruik dit document niet meer voor operationele uitvoering.</w:t>
      </w:r>
    </w:p>
    <w:p>
      <w:pPr>
        <w:pStyle w:val="Heading1"/>
      </w:pPr>
      <w:r>
        <w:t>Vervangen door</w:t>
      </w:r>
    </w:p>
    <w:p>
      <w:pPr>
        <w:spacing w:before="0" w:after="140" w:line="259" w:lineRule="auto"/>
      </w:pPr>
      <w:r>
        <w:rPr>
          <w:rFonts w:ascii="Calibri" w:hAnsi="Calibri"/>
          <w:b w:val="0"/>
          <w:i w:val="0"/>
          <w:color w:val="1F2937"/>
          <w:sz w:val="22"/>
        </w:rPr>
        <w:t>SOP-010 Uitgaande levering aan klant, versie 3.0</w:t>
      </w:r>
    </w:p>
    <w:p>
      <w:pPr>
        <w:pStyle w:val="Heading2"/>
      </w:pPr>
      <w:r>
        <w:t>Reden van samenvoeging</w:t>
      </w:r>
    </w:p>
    <w:p>
      <w:pPr>
        <w:spacing w:before="0" w:after="140" w:line="259" w:lineRule="auto"/>
      </w:pPr>
      <w:r>
        <w:rPr>
          <w:rFonts w:ascii="Calibri" w:hAnsi="Calibri"/>
          <w:b w:val="0"/>
          <w:i w:val="0"/>
          <w:color w:val="1F2937"/>
          <w:sz w:val="20"/>
        </w:rPr>
        <w:t>Transportboeking, leveropvolging en POD zijn onlosmakelijk onderdeel van het uitgaande leverproces. Samenvoeging voorkomt dubbele dossiers, statusvelden en KPI’s.</w:t>
      </w:r>
    </w:p>
    <w:p>
      <w:pPr>
        <w:pStyle w:val="Heading2"/>
      </w:pPr>
      <w:r>
        <w:t>Overgangsmaatregelen</w:t>
      </w:r>
    </w:p>
    <w:p>
      <w:pPr>
        <w:spacing w:before="0" w:after="30" w:line="254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7"/>
          <w:sz w:val="20"/>
        </w:rPr>
        <w:t>Gebruik vanaf 21-07-2026 uitsluitend SOP-010 Uitgaande levering aan klant, versie 3.0.</w:t>
      </w:r>
    </w:p>
    <w:p>
      <w:pPr>
        <w:spacing w:before="0" w:after="30" w:line="254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7"/>
          <w:sz w:val="20"/>
        </w:rPr>
        <w:t>Werk verwijzingen, dashboardlinks, formulieren en instructies bij naar de vervangende SOP.</w:t>
      </w:r>
    </w:p>
    <w:p>
      <w:pPr>
        <w:spacing w:before="0" w:after="30" w:line="254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7"/>
          <w:sz w:val="20"/>
        </w:rPr>
        <w:t>Bewaar dit document alleen als beheerst historisch bewijs; niet als uitvoeringsinstructie.</w:t>
      </w:r>
    </w:p>
    <w:p>
      <w:pPr>
        <w:spacing w:before="0" w:after="30" w:line="254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7"/>
          <w:sz w:val="20"/>
        </w:rPr>
        <w:t>Open dossiers mogen volgens de vervangende SOP worden afgerond zodra alle verplichte gegevens zijn overgenomen.</w:t>
      </w:r>
    </w:p>
    <w:p>
      <w:pPr>
        <w:pStyle w:val="Heading2"/>
      </w:pPr>
      <w:r>
        <w:t>Beheer en revisie</w:t>
      </w:r>
    </w:p>
    <w:p>
      <w:pPr>
        <w:spacing w:before="0" w:after="60" w:line="259" w:lineRule="auto"/>
      </w:pPr>
      <w:r>
        <w:rPr>
          <w:rFonts w:ascii="Calibri" w:hAnsi="Calibri"/>
          <w:b/>
          <w:i w:val="0"/>
          <w:color w:val="17365D"/>
          <w:sz w:val="17"/>
        </w:rPr>
        <w:t>Beheer:</w:t>
      </w:r>
      <w:r>
        <w:rPr>
          <w:rFonts w:ascii="Calibri" w:hAnsi="Calibri"/>
          <w:b w:val="0"/>
          <w:i w:val="0"/>
          <w:color w:val="1F2937"/>
          <w:sz w:val="17"/>
        </w:rPr>
        <w:t xml:space="preserve"> Jorn en Hidde zijn gezamenlijk proceseigenaar. Deze SOP wordt minimaal jaarlijks en direct na een belangrijke proces-, partner-, systeem- of wettelijke wijziging beoordeeld. Alleen de actuele, goedgekeurde versie in de Operations Hub is geldig.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780"/>
        <w:gridCol w:w="1280"/>
        <w:gridCol w:w="3900"/>
        <w:gridCol w:w="1900"/>
        <w:gridCol w:w="1500"/>
      </w:tblGrid>
      <w:tr>
        <w:trPr>
          <w:tblHeader w:val="true"/>
        </w:trPr>
        <w:tc>
          <w:tcPr>
            <w:tcW w:type="dxa" w:w="780"/>
            <w:shd w:fill="17365D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Versie</w:t>
            </w:r>
          </w:p>
        </w:tc>
        <w:tc>
          <w:tcPr>
            <w:tcW w:type="dxa" w:w="1280"/>
            <w:shd w:fill="17365D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Datum</w:t>
            </w:r>
          </w:p>
        </w:tc>
        <w:tc>
          <w:tcPr>
            <w:tcW w:type="dxa" w:w="3900"/>
            <w:shd w:fill="17365D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Wijziging</w:t>
            </w:r>
          </w:p>
        </w:tc>
        <w:tc>
          <w:tcPr>
            <w:tcW w:type="dxa" w:w="1900"/>
            <w:shd w:fill="17365D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Opsteller</w:t>
            </w:r>
          </w:p>
        </w:tc>
        <w:tc>
          <w:tcPr>
            <w:tcW w:type="dxa" w:w="1500"/>
            <w:shd w:fill="17365D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Goedkeuring</w:t>
            </w:r>
          </w:p>
        </w:tc>
      </w:tr>
      <w:tr>
        <w:trPr>
          <w:cantSplit/>
        </w:trPr>
        <w:tc>
          <w:tcPr>
            <w:tcW w:type="dxa" w:w="7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2937"/>
                <w:sz w:val="15"/>
              </w:rPr>
              <w:t>3.0</w:t>
            </w:r>
          </w:p>
        </w:tc>
        <w:tc>
          <w:tcPr>
            <w:tcW w:type="dxa" w:w="12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21-07-2026</w:t>
            </w:r>
          </w:p>
        </w:tc>
        <w:tc>
          <w:tcPr>
            <w:tcW w:type="dxa" w:w="39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Vervallen verklaard; volledige inhoud opgenomen in SOP-010 versie 3.0.</w:t>
            </w:r>
          </w:p>
        </w:tc>
        <w:tc>
          <w:tcPr>
            <w:tcW w:type="dxa" w:w="19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Inco-Source – Operations</w:t>
            </w:r>
          </w:p>
        </w:tc>
        <w:tc>
          <w:tcPr>
            <w:tcW w:type="dxa" w:w="15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5"/>
              </w:rPr>
              <w:t>Jorn / Hidde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79" w:right="1181" w:bottom="979" w:left="1181" w:header="475" w:footer="47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085"/>
        <w:sz w:val="16"/>
      </w:rPr>
      <w:t xml:space="preserve">SOP-011  •  Versie 3.0  •  Pagina </w:t>
    </w:r>
    <w:fldSimple w:instr="PAGE"/>
    <w:r>
      <w:rPr>
        <w:rFonts w:ascii="Calibri" w:hAnsi="Calibri"/>
        <w:b w:val="0"/>
        <w:i w:val="0"/>
        <w:color w:val="667085"/>
        <w:sz w:val="16"/>
      </w:rPr>
      <w:t xml:space="preserve"> van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/>
        <w:b/>
        <w:i w:val="0"/>
        <w:color w:val="A61B1B"/>
        <w:sz w:val="16"/>
      </w:rPr>
      <w:t>INCO-SOURCE  |  OPERATIONS  |  SOP-011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ind w:left="500" w:hanging="25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SOP-011 Transport en leveropvolging</dc:title>
  <dc:subject>Inco-Source Standard Operating Procedure</dc:subject>
  <dc:creator>Inco-Source</dc:creator>
  <cp:keywords>Inco-Source, SOP, operations, logistiek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