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Calibri" w:hAnsi="Calibri"/>
          <w:b/>
          <w:i w:val="0"/>
          <w:color w:val="2E74B5"/>
          <w:sz w:val="20"/>
        </w:rPr>
        <w:t>SOP-003</w:t>
      </w:r>
    </w:p>
    <w:p>
      <w:pPr>
        <w:keepNext/>
        <w:spacing w:after="240"/>
      </w:pPr>
      <w:r>
        <w:rPr>
          <w:rFonts w:ascii="Calibri" w:hAnsi="Calibri"/>
          <w:b/>
          <w:i w:val="0"/>
          <w:color w:val="17365D"/>
          <w:sz w:val="48"/>
        </w:rPr>
        <w:t>Leveranciersselectie en -beheer</w:t>
      </w:r>
    </w:p>
    <w:tbl>
      <w:tblPr>
        <w:tblStyle w:val="TableGrid"/>
        <w:tblW w:type="dxa" w:w="9360"/>
        <w:jc w:val="left"/>
        <w:tblLayout w:type="fixed"/>
        <w:tblLook w:firstColumn="1" w:firstRow="1" w:lastColumn="0" w:lastRow="0" w:noHBand="0" w:noVBand="1" w:val="04A0"/>
        <w:tblInd w:w="120" w:type="dxa"/>
      </w:tblPr>
      <w:tblGrid>
        <w:gridCol w:w="2700"/>
        <w:gridCol w:w="6660"/>
      </w:tblGrid>
      <w:tr>
        <w:tc>
          <w:tcPr>
            <w:tcW w:type="dxa" w:w="4680"/>
            <w:tcW w:w="2700" w:type="dxa"/>
            <w:tcMar>
              <w:top w:w="80" w:type="dxa"/>
              <w:start w:w="120" w:type="dxa"/>
              <w:bottom w:w="80" w:type="dxa"/>
              <w:end w:w="120" w:type="dxa"/>
            </w:tcMar>
            <w:vAlign w:val="center"/>
            <w:shd w:fill="E8EEF5"/>
          </w:tcPr>
          <w:p>
            <w:r>
              <w:rPr>
                <w:rFonts w:ascii="Calibri" w:hAnsi="Calibri"/>
                <w:b/>
                <w:i w:val="0"/>
                <w:color w:val="17365D"/>
                <w:sz w:val="18"/>
              </w:rPr>
              <w:t>Status</w:t>
            </w:r>
          </w:p>
        </w:tc>
        <w:tc>
          <w:tcPr>
            <w:tcW w:type="dxa" w:w="4680"/>
            <w:tcW w:w="6660" w:type="dxa"/>
            <w:tcMar>
              <w:top w:w="80" w:type="dxa"/>
              <w:start w:w="120" w:type="dxa"/>
              <w:bottom w:w="80" w:type="dxa"/>
              <w:end w:w="120" w:type="dxa"/>
            </w:tcMar>
            <w:vAlign w:val="center"/>
          </w:tcPr>
          <w:p>
            <w:r>
              <w:rPr>
                <w:rFonts w:ascii="Calibri" w:hAnsi="Calibri"/>
                <w:b w:val="0"/>
                <w:i w:val="0"/>
                <w:color w:val="20242A"/>
                <w:sz w:val="18"/>
              </w:rPr>
              <w:t>Actief</w:t>
            </w:r>
          </w:p>
        </w:tc>
      </w:tr>
      <w:tr>
        <w:tc>
          <w:tcPr>
            <w:tcW w:type="dxa" w:w="4680"/>
            <w:tcW w:w="2700" w:type="dxa"/>
            <w:tcMar>
              <w:top w:w="80" w:type="dxa"/>
              <w:start w:w="120" w:type="dxa"/>
              <w:bottom w:w="80" w:type="dxa"/>
              <w:end w:w="120" w:type="dxa"/>
            </w:tcMar>
            <w:vAlign w:val="center"/>
            <w:shd w:fill="E8EEF5"/>
          </w:tcPr>
          <w:p>
            <w:r>
              <w:rPr>
                <w:rFonts w:ascii="Calibri" w:hAnsi="Calibri"/>
                <w:b/>
                <w:i w:val="0"/>
                <w:color w:val="17365D"/>
                <w:sz w:val="18"/>
              </w:rPr>
              <w:t>Versie</w:t>
            </w:r>
          </w:p>
        </w:tc>
        <w:tc>
          <w:tcPr>
            <w:tcW w:type="dxa" w:w="4680"/>
            <w:tcW w:w="6660" w:type="dxa"/>
            <w:tcMar>
              <w:top w:w="80" w:type="dxa"/>
              <w:start w:w="120" w:type="dxa"/>
              <w:bottom w:w="80" w:type="dxa"/>
              <w:end w:w="120" w:type="dxa"/>
            </w:tcMar>
            <w:vAlign w:val="center"/>
          </w:tcPr>
          <w:p>
            <w:r>
              <w:rPr>
                <w:rFonts w:ascii="Calibri" w:hAnsi="Calibri"/>
                <w:b w:val="0"/>
                <w:i w:val="0"/>
                <w:color w:val="20242A"/>
                <w:sz w:val="18"/>
              </w:rPr>
              <w:t>3.1</w:t>
            </w:r>
          </w:p>
        </w:tc>
      </w:tr>
      <w:tr>
        <w:tc>
          <w:tcPr>
            <w:tcW w:type="dxa" w:w="4680"/>
            <w:tcW w:w="2700" w:type="dxa"/>
            <w:tcMar>
              <w:top w:w="80" w:type="dxa"/>
              <w:start w:w="120" w:type="dxa"/>
              <w:bottom w:w="80" w:type="dxa"/>
              <w:end w:w="120" w:type="dxa"/>
            </w:tcMar>
            <w:vAlign w:val="center"/>
            <w:shd w:fill="E8EEF5"/>
          </w:tcPr>
          <w:p>
            <w:r>
              <w:rPr>
                <w:rFonts w:ascii="Calibri" w:hAnsi="Calibri"/>
                <w:b/>
                <w:i w:val="0"/>
                <w:color w:val="17365D"/>
                <w:sz w:val="18"/>
              </w:rPr>
              <w:t>Eigenaar</w:t>
            </w:r>
          </w:p>
        </w:tc>
        <w:tc>
          <w:tcPr>
            <w:tcW w:type="dxa" w:w="4680"/>
            <w:tcW w:w="6660" w:type="dxa"/>
            <w:tcMar>
              <w:top w:w="80" w:type="dxa"/>
              <w:start w:w="120" w:type="dxa"/>
              <w:bottom w:w="80" w:type="dxa"/>
              <w:end w:w="120" w:type="dxa"/>
            </w:tcMar>
            <w:vAlign w:val="center"/>
          </w:tcPr>
          <w:p>
            <w:r>
              <w:rPr>
                <w:rFonts w:ascii="Calibri" w:hAnsi="Calibri"/>
                <w:b w:val="0"/>
                <w:i w:val="0"/>
                <w:color w:val="20242A"/>
                <w:sz w:val="18"/>
              </w:rPr>
              <w:t>Jorn / Hidde</w:t>
            </w:r>
          </w:p>
        </w:tc>
      </w:tr>
      <w:tr>
        <w:tc>
          <w:tcPr>
            <w:tcW w:type="dxa" w:w="4680"/>
            <w:tcW w:w="2700" w:type="dxa"/>
            <w:tcMar>
              <w:top w:w="80" w:type="dxa"/>
              <w:start w:w="120" w:type="dxa"/>
              <w:bottom w:w="80" w:type="dxa"/>
              <w:end w:w="120" w:type="dxa"/>
            </w:tcMar>
            <w:vAlign w:val="center"/>
            <w:shd w:fill="E8EEF5"/>
          </w:tcPr>
          <w:p>
            <w:r>
              <w:rPr>
                <w:rFonts w:ascii="Calibri" w:hAnsi="Calibri"/>
                <w:b/>
                <w:i w:val="0"/>
                <w:color w:val="17365D"/>
                <w:sz w:val="18"/>
              </w:rPr>
              <w:t>Categorie</w:t>
            </w:r>
          </w:p>
        </w:tc>
        <w:tc>
          <w:tcPr>
            <w:tcW w:type="dxa" w:w="4680"/>
            <w:tcW w:w="6660" w:type="dxa"/>
            <w:tcMar>
              <w:top w:w="80" w:type="dxa"/>
              <w:start w:w="120" w:type="dxa"/>
              <w:bottom w:w="80" w:type="dxa"/>
              <w:end w:w="120" w:type="dxa"/>
            </w:tcMar>
            <w:vAlign w:val="center"/>
          </w:tcPr>
          <w:p>
            <w:r>
              <w:rPr>
                <w:rFonts w:ascii="Calibri" w:hAnsi="Calibri"/>
                <w:b w:val="0"/>
                <w:i w:val="0"/>
                <w:color w:val="20242A"/>
                <w:sz w:val="18"/>
              </w:rPr>
              <w:t>Inkoop &amp; leveranciers</w:t>
            </w:r>
          </w:p>
        </w:tc>
      </w:tr>
      <w:tr>
        <w:tc>
          <w:tcPr>
            <w:tcW w:type="dxa" w:w="4680"/>
            <w:tcW w:w="2700" w:type="dxa"/>
            <w:tcMar>
              <w:top w:w="80" w:type="dxa"/>
              <w:start w:w="120" w:type="dxa"/>
              <w:bottom w:w="80" w:type="dxa"/>
              <w:end w:w="120" w:type="dxa"/>
            </w:tcMar>
            <w:vAlign w:val="center"/>
            <w:shd w:fill="E8EEF5"/>
          </w:tcPr>
          <w:p>
            <w:r>
              <w:rPr>
                <w:rFonts w:ascii="Calibri" w:hAnsi="Calibri"/>
                <w:b/>
                <w:i w:val="0"/>
                <w:color w:val="17365D"/>
                <w:sz w:val="18"/>
              </w:rPr>
              <w:t>Beoordeling</w:t>
            </w:r>
          </w:p>
        </w:tc>
        <w:tc>
          <w:tcPr>
            <w:tcW w:type="dxa" w:w="4680"/>
            <w:tcW w:w="6660" w:type="dxa"/>
            <w:tcMar>
              <w:top w:w="80" w:type="dxa"/>
              <w:start w:w="120" w:type="dxa"/>
              <w:bottom w:w="80" w:type="dxa"/>
              <w:end w:w="120" w:type="dxa"/>
            </w:tcMar>
            <w:vAlign w:val="center"/>
          </w:tcPr>
          <w:p>
            <w:r>
              <w:rPr>
                <w:rFonts w:ascii="Calibri" w:hAnsi="Calibri"/>
                <w:b w:val="0"/>
                <w:i w:val="0"/>
                <w:color w:val="20242A"/>
                <w:sz w:val="18"/>
              </w:rPr>
              <w:t>2027-08-18</w:t>
            </w:r>
          </w:p>
        </w:tc>
      </w:tr>
    </w:tbl>
    <w:p>
      <w:pPr>
        <w:pStyle w:val="Heading1"/>
        <w:keepNext/>
      </w:pPr>
      <w:r>
        <w:rPr>
          <w:rFonts w:ascii="Calibri" w:hAnsi="Calibri"/>
          <w:b/>
          <w:i w:val="0"/>
          <w:color w:val="2E74B5"/>
          <w:sz w:val="32"/>
        </w:rPr>
        <w:t>1. Doel</w:t>
      </w:r>
    </w:p>
    <w:p>
      <w:r>
        <w:t>Borgt dat Inco-Source alleen inkoopt bij leveranciers die commercieel, operationeel en qua product/compliance beheerst zijn.</w:t>
      </w:r>
    </w:p>
    <w:p>
      <w:pPr>
        <w:pStyle w:val="Heading1"/>
        <w:keepNext/>
      </w:pPr>
      <w:r>
        <w:rPr>
          <w:rFonts w:ascii="Calibri" w:hAnsi="Calibri"/>
          <w:b/>
          <w:i w:val="0"/>
          <w:color w:val="2E74B5"/>
          <w:sz w:val="32"/>
        </w:rPr>
        <w:t>2. Operationele context en gebruiksmoment</w:t>
      </w:r>
    </w:p>
    <w:p>
      <w:r>
        <w:t>Gebruik bij een nieuwe leverancier, een gewijzigde betaalrekening, een kritieke dienstverlener, een grote nieuwe handelsmogelijkheid of terugkerende prestatieproblemen.</w:t>
      </w:r>
    </w:p>
    <w:p>
      <w:pPr>
        <w:spacing w:before="80"/>
      </w:pPr>
      <w:r>
        <w:rPr>
          <w:rFonts w:ascii="Calibri" w:hAnsi="Calibri"/>
          <w:b/>
          <w:i w:val="0"/>
          <w:color w:val="17365D"/>
          <w:sz w:val="22"/>
        </w:rPr>
        <w:t xml:space="preserve">Waarom dit ertoe doet: </w:t>
      </w:r>
      <w:r>
        <w:rPr>
          <w:rFonts w:ascii="Calibri" w:hAnsi="Calibri"/>
          <w:b w:val="0"/>
          <w:i w:val="0"/>
          <w:color w:val="20242A"/>
          <w:sz w:val="22"/>
        </w:rPr>
        <w:t>Een scherpe aanbieding van een algemene groothandel is niet voldoende. De voorkeursroute is de fabrikant; een alternatief moet aantoonbaar een medische groothandel zijn en aan het merkencriterium voldoen.</w:t>
      </w:r>
    </w:p>
    <w:p>
      <w:pPr>
        <w:pStyle w:val="Heading1"/>
        <w:keepNext/>
      </w:pPr>
      <w:r>
        <w:rPr>
          <w:rFonts w:ascii="Calibri" w:hAnsi="Calibri"/>
          <w:b/>
          <w:i w:val="0"/>
          <w:color w:val="2E74B5"/>
          <w:sz w:val="32"/>
        </w:rPr>
        <w:t>3. Scope</w:t>
      </w:r>
    </w:p>
    <w:p>
      <w:r>
        <w:t>Productleveranciers en kritieke dienstverleners; specifieke 3PL- en vervoerderssturing valt aanvullend onder SOP-014.</w:t>
      </w:r>
    </w:p>
    <w:p>
      <w:pPr>
        <w:pStyle w:val="Heading1"/>
        <w:keepNext/>
      </w:pPr>
      <w:r>
        <w:rPr>
          <w:rFonts w:ascii="Calibri" w:hAnsi="Calibri"/>
          <w:b/>
          <w:i w:val="0"/>
          <w:color w:val="2E74B5"/>
          <w:sz w:val="32"/>
        </w:rPr>
        <w:t>4. Rollen en verantwoordelijkheden</w:t>
      </w:r>
    </w:p>
    <w:p>
      <w:pPr>
        <w:pStyle w:val="SOPBullet"/>
        <w:ind w:left="540" w:hanging="270"/>
      </w:pPr>
      <w:r>
        <w:rPr>
          <w:rFonts w:ascii="Calibri" w:hAnsi="Calibri"/>
          <w:b w:val="0"/>
          <w:i w:val="0"/>
          <w:color w:val="20242A"/>
          <w:sz w:val="22"/>
        </w:rPr>
        <w:t>•</w:t>
        <w:tab/>
        <w:t>Uitvoerder - verantwoordelijk voor: leg behoefte vast</w:t>
      </w:r>
    </w:p>
    <w:p>
      <w:pPr>
        <w:pStyle w:val="SOPBullet"/>
        <w:ind w:left="540" w:hanging="270"/>
      </w:pPr>
      <w:r>
        <w:rPr>
          <w:rFonts w:ascii="Calibri" w:hAnsi="Calibri"/>
          <w:b w:val="0"/>
          <w:i w:val="0"/>
          <w:color w:val="20242A"/>
          <w:sz w:val="22"/>
        </w:rPr>
        <w:t>•</w:t>
        <w:tab/>
        <w:t>Uitvoerder - verantwoordelijk voor: verifieer partij</w:t>
      </w:r>
    </w:p>
    <w:p>
      <w:pPr>
        <w:pStyle w:val="SOPBullet"/>
        <w:ind w:left="540" w:hanging="270"/>
      </w:pPr>
      <w:r>
        <w:rPr>
          <w:rFonts w:ascii="Calibri" w:hAnsi="Calibri"/>
          <w:b w:val="0"/>
          <w:i w:val="0"/>
          <w:color w:val="20242A"/>
          <w:sz w:val="22"/>
        </w:rPr>
        <w:t>•</w:t>
        <w:tab/>
        <w:t>Uitvoerder - verantwoordelijk voor: verzamel voorwaarden</w:t>
      </w:r>
    </w:p>
    <w:p>
      <w:pPr>
        <w:pStyle w:val="SOPBullet"/>
        <w:ind w:left="540" w:hanging="270"/>
      </w:pPr>
      <w:r>
        <w:rPr>
          <w:rFonts w:ascii="Calibri" w:hAnsi="Calibri"/>
          <w:b w:val="0"/>
          <w:i w:val="0"/>
          <w:color w:val="20242A"/>
          <w:sz w:val="22"/>
        </w:rPr>
        <w:t>•</w:t>
        <w:tab/>
        <w:t>Jorn/Hidde - verantwoordelijk voor: classificeer risico</w:t>
      </w:r>
    </w:p>
    <w:p>
      <w:pPr>
        <w:pStyle w:val="SOPBullet"/>
        <w:ind w:left="540" w:hanging="270"/>
      </w:pPr>
      <w:r>
        <w:rPr>
          <w:rFonts w:ascii="Calibri" w:hAnsi="Calibri"/>
          <w:b w:val="0"/>
          <w:i w:val="0"/>
          <w:color w:val="20242A"/>
          <w:sz w:val="22"/>
        </w:rPr>
        <w:t>•</w:t>
        <w:tab/>
        <w:t>Jorn/Hidde - verantwoordelijk voor: besluit en voorwaarden</w:t>
      </w:r>
    </w:p>
    <w:p>
      <w:pPr>
        <w:pStyle w:val="SOPBullet"/>
        <w:ind w:left="540" w:hanging="270"/>
      </w:pPr>
      <w:r>
        <w:rPr>
          <w:rFonts w:ascii="Calibri" w:hAnsi="Calibri"/>
          <w:b w:val="0"/>
          <w:i w:val="0"/>
          <w:color w:val="20242A"/>
          <w:sz w:val="22"/>
        </w:rPr>
        <w:t>•</w:t>
        <w:tab/>
        <w:t>Uitvoerder - verantwoordelijk voor: controleer eerste levering</w:t>
      </w:r>
    </w:p>
    <w:p>
      <w:pPr>
        <w:pStyle w:val="SOPBullet"/>
        <w:ind w:left="540" w:hanging="270"/>
      </w:pPr>
      <w:r>
        <w:rPr>
          <w:rFonts w:ascii="Calibri" w:hAnsi="Calibri"/>
          <w:b w:val="0"/>
          <w:i w:val="0"/>
          <w:color w:val="20242A"/>
          <w:sz w:val="22"/>
        </w:rPr>
        <w:t>•</w:t>
        <w:tab/>
        <w:t>Proceseigenaar - verantwoordelijk voor: herbeoordeel gericht</w:t>
      </w:r>
    </w:p>
    <w:p>
      <w:pPr>
        <w:pStyle w:val="Heading1"/>
        <w:keepNext/>
      </w:pPr>
      <w:r>
        <w:rPr>
          <w:rFonts w:ascii="Calibri" w:hAnsi="Calibri"/>
          <w:b/>
          <w:i w:val="0"/>
          <w:color w:val="2E74B5"/>
          <w:sz w:val="32"/>
        </w:rPr>
        <w:t>5. Benodigde systemen en documenten</w:t>
      </w:r>
    </w:p>
    <w:p>
      <w:r>
        <w:rPr>
          <w:rFonts w:ascii="Calibri" w:hAnsi="Calibri"/>
          <w:b/>
          <w:i w:val="0"/>
          <w:color w:val="17365D"/>
          <w:sz w:val="22"/>
        </w:rPr>
        <w:t xml:space="preserve">Systemen: </w:t>
      </w:r>
      <w:r>
        <w:rPr>
          <w:rFonts w:ascii="Calibri" w:hAnsi="Calibri"/>
          <w:b w:val="0"/>
          <w:i w:val="0"/>
          <w:color w:val="20242A"/>
          <w:sz w:val="22"/>
        </w:rPr>
      </w:r>
    </w:p>
    <w:p>
      <w:r>
        <w:rPr>
          <w:rFonts w:ascii="Calibri" w:hAnsi="Calibri"/>
          <w:b/>
          <w:i w:val="0"/>
          <w:color w:val="17365D"/>
          <w:sz w:val="22"/>
        </w:rPr>
        <w:t xml:space="preserve">Documenten en bewijs: </w:t>
      </w:r>
      <w:r>
        <w:rPr>
          <w:rFonts w:ascii="Calibri" w:hAnsi="Calibri"/>
          <w:b w:val="0"/>
          <w:i w:val="0"/>
          <w:color w:val="20242A"/>
          <w:sz w:val="22"/>
        </w:rPr>
        <w:t>Leveranciersregister, verificatiebewijs, offerte/voorwaarden, relevante productdocumenten, risicoklasse en evaluatienotitie.</w:t>
      </w:r>
    </w:p>
    <w:p>
      <w:pPr>
        <w:pStyle w:val="Heading1"/>
        <w:keepNext/>
      </w:pPr>
      <w:r>
        <w:rPr>
          <w:rFonts w:ascii="Calibri" w:hAnsi="Calibri"/>
          <w:b/>
          <w:i w:val="0"/>
          <w:color w:val="2E74B5"/>
          <w:sz w:val="32"/>
        </w:rPr>
        <w:t>6. Belangrijkste beslisregels</w:t>
      </w:r>
    </w:p>
    <w:tbl>
      <w:tblPr>
        <w:tblStyle w:val="TableGrid"/>
        <w:tblW w:type="dxa" w:w="9360"/>
        <w:tblLayout w:type="fixed"/>
        <w:tblLook w:firstColumn="1" w:firstRow="1" w:lastColumn="0" w:lastRow="0" w:noHBand="0" w:noVBand="1" w:val="04A0"/>
        <w:jc w:val="left"/>
        <w:tblInd w:w="120" w:type="dxa"/>
        <w:tblInd w:w="120" w:type="dxa"/>
        <w:tblInd w:w="120" w:type="dxa"/>
        <w:tblInd w:w="120" w:type="dxa"/>
        <w:tblInd w:w="120" w:type="dxa"/>
      </w:tblPr>
      <w:tblGrid>
        <w:gridCol w:w="2700"/>
        <w:gridCol w:w="6660"/>
      </w:tblGrid>
      <w:tr>
        <w:tc>
          <w:tcPr>
            <w:tcW w:type="dxa" w:w="4680"/>
            <w:tcW w:w="2700" w:type="dxa"/>
            <w:tcMar>
              <w:top w:w="80" w:type="dxa"/>
              <w:start w:w="120" w:type="dxa"/>
              <w:bottom w:w="80" w:type="dxa"/>
              <w:end w:w="120" w:type="dxa"/>
              <w:top w:w="80" w:type="dxa"/>
              <w:start w:w="120" w:type="dxa"/>
              <w:bottom w:w="80" w:type="dxa"/>
              <w:end w:w="120" w:type="dxa"/>
              <w:top w:w="80" w:type="dxa"/>
              <w:start w:w="120" w:type="dxa"/>
              <w:bottom w:w="80" w:type="dxa"/>
              <w:end w:w="120" w:type="dxa"/>
              <w:top w:w="80" w:type="dxa"/>
              <w:start w:w="120" w:type="dxa"/>
              <w:bottom w:w="80" w:type="dxa"/>
              <w:end w:w="120" w:type="dxa"/>
              <w:top w:w="80" w:type="dxa"/>
              <w:start w:w="120" w:type="dxa"/>
              <w:bottom w:w="80" w:type="dxa"/>
              <w:end w:w="120" w:type="dxa"/>
            </w:tcMar>
            <w:vAlign w:val="center"/>
            <w:shd w:fill="E8EEF5"/>
            <w:tcW w:w="2700" w:type="dxa"/>
            <w:tcW w:w="2700" w:type="dxa"/>
            <w:tcW w:w="2700" w:type="dxa"/>
            <w:tcW w:w="2700" w:type="dxa"/>
          </w:tcPr>
          <w:p>
            <w:r>
              <w:rPr>
                <w:rFonts w:ascii="Calibri" w:hAnsi="Calibri"/>
                <w:b/>
                <w:i w:val="0"/>
                <w:color w:val="17365D"/>
                <w:sz w:val="18"/>
              </w:rPr>
              <w:t>Besluit</w:t>
            </w:r>
          </w:p>
        </w:tc>
        <w:tc>
          <w:tcPr>
            <w:tcW w:type="dxa" w:w="4680"/>
            <w:tcW w:w="6660" w:type="dxa"/>
            <w:tcMar>
              <w:top w:w="80" w:type="dxa"/>
              <w:start w:w="120" w:type="dxa"/>
              <w:bottom w:w="80" w:type="dxa"/>
              <w:end w:w="120" w:type="dxa"/>
              <w:top w:w="80" w:type="dxa"/>
              <w:start w:w="120" w:type="dxa"/>
              <w:bottom w:w="80" w:type="dxa"/>
              <w:end w:w="120" w:type="dxa"/>
              <w:top w:w="80" w:type="dxa"/>
              <w:start w:w="120" w:type="dxa"/>
              <w:bottom w:w="80" w:type="dxa"/>
              <w:end w:w="120" w:type="dxa"/>
              <w:top w:w="80" w:type="dxa"/>
              <w:start w:w="120" w:type="dxa"/>
              <w:bottom w:w="80" w:type="dxa"/>
              <w:end w:w="120" w:type="dxa"/>
              <w:top w:w="80" w:type="dxa"/>
              <w:start w:w="120" w:type="dxa"/>
              <w:bottom w:w="80" w:type="dxa"/>
              <w:end w:w="120" w:type="dxa"/>
            </w:tcMar>
            <w:vAlign w:val="center"/>
            <w:shd w:fill="E8EEF5"/>
            <w:tcW w:w="6660" w:type="dxa"/>
            <w:tcW w:w="6660" w:type="dxa"/>
            <w:tcW w:w="6660" w:type="dxa"/>
            <w:tcW w:w="6660" w:type="dxa"/>
          </w:tcPr>
          <w:p>
            <w:r>
              <w:rPr>
                <w:rFonts w:ascii="Calibri" w:hAnsi="Calibri"/>
                <w:b/>
                <w:i w:val="0"/>
                <w:color w:val="17365D"/>
                <w:sz w:val="18"/>
              </w:rPr>
              <w:t>Wanneer toepassen</w:t>
            </w:r>
          </w:p>
        </w:tc>
      </w:tr>
      <w:tr>
        <w:tc>
          <w:tcPr>
            <w:tcW w:type="dxa" w:w="2700"/>
            <w:tcW w:w="2700" w:type="dxa"/>
            <w:tcMar>
              <w:top w:w="80" w:type="dxa"/>
              <w:start w:w="120" w:type="dxa"/>
              <w:bottom w:w="80" w:type="dxa"/>
              <w:end w:w="120" w:type="dxa"/>
              <w:top w:w="80" w:type="dxa"/>
              <w:start w:w="120" w:type="dxa"/>
              <w:bottom w:w="80" w:type="dxa"/>
              <w:end w:w="120" w:type="dxa"/>
              <w:top w:w="80" w:type="dxa"/>
              <w:start w:w="120" w:type="dxa"/>
              <w:bottom w:w="80" w:type="dxa"/>
              <w:end w:w="120" w:type="dxa"/>
              <w:top w:w="80" w:type="dxa"/>
              <w:start w:w="120" w:type="dxa"/>
              <w:bottom w:w="80" w:type="dxa"/>
              <w:end w:w="120" w:type="dxa"/>
            </w:tcMar>
            <w:vAlign w:val="center"/>
            <w:tcW w:w="2700" w:type="dxa"/>
            <w:tcW w:w="2700" w:type="dxa"/>
            <w:tcW w:w="2700" w:type="dxa"/>
          </w:tcPr>
          <w:p>
            <w:r>
              <w:rPr>
                <w:rFonts w:ascii="Calibri" w:hAnsi="Calibri"/>
                <w:b/>
                <w:i w:val="0"/>
                <w:color w:val="17365D"/>
                <w:sz w:val="18"/>
              </w:rPr>
              <w:t>Voorkeur fabrikant</w:t>
            </w:r>
          </w:p>
        </w:tc>
        <w:tc>
          <w:tcPr>
            <w:tcW w:type="dxa" w:w="6660"/>
            <w:tcW w:w="6660" w:type="dxa"/>
            <w:tcMar>
              <w:top w:w="80" w:type="dxa"/>
              <w:start w:w="120" w:type="dxa"/>
              <w:bottom w:w="80" w:type="dxa"/>
              <w:end w:w="120" w:type="dxa"/>
              <w:top w:w="80" w:type="dxa"/>
              <w:start w:w="120" w:type="dxa"/>
              <w:bottom w:w="80" w:type="dxa"/>
              <w:end w:w="120" w:type="dxa"/>
              <w:top w:w="80" w:type="dxa"/>
              <w:start w:w="120" w:type="dxa"/>
              <w:bottom w:w="80" w:type="dxa"/>
              <w:end w:w="120" w:type="dxa"/>
              <w:top w:w="80" w:type="dxa"/>
              <w:start w:w="120" w:type="dxa"/>
              <w:bottom w:w="80" w:type="dxa"/>
              <w:end w:w="120" w:type="dxa"/>
            </w:tcMar>
            <w:vAlign w:val="center"/>
            <w:tcW w:w="6660" w:type="dxa"/>
            <w:tcW w:w="6660" w:type="dxa"/>
            <w:tcW w:w="6660" w:type="dxa"/>
          </w:tcPr>
          <w:p>
            <w:r>
              <w:rPr>
                <w:rFonts w:ascii="Calibri" w:hAnsi="Calibri"/>
                <w:b w:val="0"/>
                <w:i w:val="0"/>
                <w:color w:val="20242A"/>
                <w:sz w:val="18"/>
              </w:rPr>
              <w:t>Rechtstreeks bij de fabrikant, bij voorkeur met 30 dagen betaling en franco levering.</w:t>
            </w:r>
          </w:p>
        </w:tc>
      </w:tr>
      <w:tr>
        <w:tc>
          <w:tcPr>
            <w:tcW w:type="dxa" w:w="2700"/>
            <w:tcW w:w="2700" w:type="dxa"/>
            <w:tcMar>
              <w:top w:w="80" w:type="dxa"/>
              <w:start w:w="120" w:type="dxa"/>
              <w:bottom w:w="80" w:type="dxa"/>
              <w:end w:w="120" w:type="dxa"/>
              <w:top w:w="80" w:type="dxa"/>
              <w:start w:w="120" w:type="dxa"/>
              <w:bottom w:w="80" w:type="dxa"/>
              <w:end w:w="120" w:type="dxa"/>
              <w:top w:w="80" w:type="dxa"/>
              <w:start w:w="120" w:type="dxa"/>
              <w:bottom w:w="80" w:type="dxa"/>
              <w:end w:w="120" w:type="dxa"/>
            </w:tcMar>
            <w:vAlign w:val="center"/>
            <w:tcW w:w="2700" w:type="dxa"/>
            <w:tcW w:w="2700" w:type="dxa"/>
          </w:tcPr>
          <w:p>
            <w:r>
              <w:rPr>
                <w:rFonts w:ascii="Calibri" w:hAnsi="Calibri"/>
                <w:b/>
                <w:i w:val="0"/>
                <w:color w:val="17365D"/>
                <w:sz w:val="18"/>
              </w:rPr>
              <w:t>Medische groothandel</w:t>
            </w:r>
          </w:p>
        </w:tc>
        <w:tc>
          <w:tcPr>
            <w:tcW w:type="dxa" w:w="6660"/>
            <w:tcW w:w="6660" w:type="dxa"/>
            <w:tcMar>
              <w:top w:w="80" w:type="dxa"/>
              <w:start w:w="120" w:type="dxa"/>
              <w:bottom w:w="80" w:type="dxa"/>
              <w:end w:w="120" w:type="dxa"/>
              <w:top w:w="80" w:type="dxa"/>
              <w:start w:w="120" w:type="dxa"/>
              <w:bottom w:w="80" w:type="dxa"/>
              <w:end w:w="120" w:type="dxa"/>
              <w:top w:w="80" w:type="dxa"/>
              <w:start w:w="120" w:type="dxa"/>
              <w:bottom w:w="80" w:type="dxa"/>
              <w:end w:w="120" w:type="dxa"/>
            </w:tcMar>
            <w:vAlign w:val="center"/>
            <w:tcW w:w="6660" w:type="dxa"/>
            <w:tcW w:w="6660" w:type="dxa"/>
          </w:tcPr>
          <w:p>
            <w:r>
              <w:rPr>
                <w:rFonts w:ascii="Calibri" w:hAnsi="Calibri"/>
                <w:b w:val="0"/>
                <w:i w:val="0"/>
                <w:color w:val="20242A"/>
                <w:sz w:val="18"/>
              </w:rPr>
              <w:t>Alleen wanneer de website merken toont die Inco-Source al inkoopt en de overige verificaties slagen.</w:t>
            </w:r>
          </w:p>
        </w:tc>
      </w:tr>
      <w:tr>
        <w:tc>
          <w:tcPr>
            <w:tcW w:type="dxa" w:w="2700"/>
            <w:tcW w:w="2700" w:type="dxa"/>
            <w:tcMar>
              <w:top w:w="80" w:type="dxa"/>
              <w:start w:w="120" w:type="dxa"/>
              <w:bottom w:w="80" w:type="dxa"/>
              <w:end w:w="120" w:type="dxa"/>
              <w:top w:w="80" w:type="dxa"/>
              <w:start w:w="120" w:type="dxa"/>
              <w:bottom w:w="80" w:type="dxa"/>
              <w:end w:w="120" w:type="dxa"/>
            </w:tcMar>
            <w:vAlign w:val="center"/>
            <w:tcW w:w="2700" w:type="dxa"/>
          </w:tcPr>
          <w:p>
            <w:r>
              <w:rPr>
                <w:rFonts w:ascii="Calibri" w:hAnsi="Calibri"/>
                <w:b/>
                <w:i w:val="0"/>
                <w:color w:val="17365D"/>
                <w:sz w:val="18"/>
              </w:rPr>
              <w:t>Kritisch</w:t>
            </w:r>
          </w:p>
        </w:tc>
        <w:tc>
          <w:tcPr>
            <w:tcW w:type="dxa" w:w="6660"/>
            <w:tcW w:w="6660" w:type="dxa"/>
            <w:tcMar>
              <w:top w:w="80" w:type="dxa"/>
              <w:start w:w="120" w:type="dxa"/>
              <w:bottom w:w="80" w:type="dxa"/>
              <w:end w:w="120" w:type="dxa"/>
              <w:top w:w="80" w:type="dxa"/>
              <w:start w:w="120" w:type="dxa"/>
              <w:bottom w:w="80" w:type="dxa"/>
              <w:end w:w="120" w:type="dxa"/>
            </w:tcMar>
            <w:vAlign w:val="center"/>
            <w:tcW w:w="6660" w:type="dxa"/>
          </w:tcPr>
          <w:p>
            <w:r>
              <w:rPr>
                <w:rFonts w:ascii="Calibri" w:hAnsi="Calibri"/>
                <w:b w:val="0"/>
                <w:i w:val="0"/>
                <w:color w:val="20242A"/>
                <w:sz w:val="18"/>
              </w:rPr>
              <w:t>Hoge klantimpact, moeilijk vervangbaar of grote product-/financiële afhankelijkheid.</w:t>
            </w:r>
          </w:p>
        </w:tc>
      </w:tr>
      <w:tr>
        <w:tc>
          <w:tcPr>
            <w:tcW w:type="dxa" w:w="2700"/>
            <w:tcW w:w="2700" w:type="dxa"/>
            <w:tcMar>
              <w:top w:w="80" w:type="dxa"/>
              <w:start w:w="120" w:type="dxa"/>
              <w:bottom w:w="80" w:type="dxa"/>
              <w:end w:w="120" w:type="dxa"/>
            </w:tcMar>
            <w:vAlign w:val="center"/>
          </w:tcPr>
          <w:p>
            <w:r>
              <w:rPr>
                <w:rFonts w:ascii="Calibri" w:hAnsi="Calibri"/>
                <w:b/>
                <w:i w:val="0"/>
                <w:color w:val="17365D"/>
                <w:sz w:val="18"/>
              </w:rPr>
              <w:t>Blokkeren</w:t>
            </w:r>
          </w:p>
        </w:tc>
        <w:tc>
          <w:tcPr>
            <w:tcW w:type="dxa" w:w="6660"/>
            <w:tcW w:w="6660" w:type="dxa"/>
            <w:tcMar>
              <w:top w:w="80" w:type="dxa"/>
              <w:start w:w="120" w:type="dxa"/>
              <w:bottom w:w="80" w:type="dxa"/>
              <w:end w:w="120" w:type="dxa"/>
            </w:tcMar>
            <w:vAlign w:val="center"/>
          </w:tcPr>
          <w:p>
            <w:r>
              <w:rPr>
                <w:rFonts w:ascii="Calibri" w:hAnsi="Calibri"/>
                <w:b w:val="0"/>
                <w:i w:val="0"/>
                <w:color w:val="20242A"/>
                <w:sz w:val="18"/>
              </w:rPr>
              <w:t>Fraude-indicatie, onbeheerst productrisico of ontbrekende kritieke documentatie.</w:t>
            </w:r>
          </w:p>
        </w:tc>
      </w:tr>
    </w:tbl>
    <w:p>
      <w:pPr>
        <w:pStyle w:val="Heading1"/>
        <w:keepNext/>
      </w:pPr>
      <w:r>
        <w:rPr>
          <w:rFonts w:ascii="Calibri" w:hAnsi="Calibri"/>
          <w:b/>
          <w:i w:val="0"/>
          <w:color w:val="2E74B5"/>
          <w:sz w:val="32"/>
        </w:rPr>
        <w:t>7. Werkwijze</w:t>
      </w:r>
    </w:p>
    <w:p>
      <w:pPr>
        <w:pStyle w:val="SOPStep"/>
        <w:numPr>
          <w:ilvl w:val="0"/>
          <w:numId w:val="10"/>
        </w:numPr>
      </w:pPr>
      <w:r>
        <w:rPr>
          <w:rFonts w:ascii="Calibri" w:hAnsi="Calibri"/>
          <w:b w:val="0"/>
          <w:i w:val="0"/>
          <w:color w:val="20242A"/>
          <w:sz w:val="22"/>
        </w:rPr>
        <w:t>Leg behoefte vast - Beschrijf wat wordt afgenomen, verwacht volume, financiële omvang en waarom de leverancier nodig is. Output: Duidelijke businessreden en scope.</w:t>
      </w:r>
    </w:p>
    <w:p>
      <w:pPr>
        <w:pStyle w:val="SOPStep"/>
        <w:numPr>
          <w:ilvl w:val="0"/>
          <w:numId w:val="10"/>
        </w:numPr>
      </w:pPr>
      <w:r>
        <w:rPr>
          <w:rFonts w:ascii="Calibri" w:hAnsi="Calibri"/>
          <w:b w:val="0"/>
          <w:i w:val="0"/>
          <w:color w:val="20242A"/>
          <w:sz w:val="22"/>
        </w:rPr>
        <w:t>Selecteer voorkeursroute - Koop bij voorkeur rechtstreeks bij de fabrikant, met als gewenste voorwaarden 30 dagen betaling en franco levering. Gebruik alleen een medische groothandel als alternatief wanneer de website merken toont die Inco-Source al inkoopt; bewaar het controlebewijs. Output: Leveranciersroute en afwijkingen zijn aantoonbaar gekozen.</w:t>
      </w:r>
    </w:p>
    <w:p>
      <w:pPr>
        <w:pStyle w:val="SOPStep"/>
        <w:numPr>
          <w:ilvl w:val="0"/>
          <w:numId w:val="10"/>
        </w:numPr>
      </w:pPr>
      <w:r>
        <w:rPr>
          <w:rFonts w:ascii="Calibri" w:hAnsi="Calibri"/>
          <w:b w:val="0"/>
          <w:i w:val="0"/>
          <w:color w:val="20242A"/>
          <w:sz w:val="22"/>
        </w:rPr>
        <w:t>Verifieer partij - Controleer bedrijfsgegevens, contactpersonen en bankrekening via betrouwbare bron en onafhankelijk contactkanaal. Output: Identiteit en betaalgegevens bevestigd.</w:t>
      </w:r>
    </w:p>
    <w:p>
      <w:pPr>
        <w:pStyle w:val="SOPStep"/>
        <w:numPr>
          <w:ilvl w:val="0"/>
          <w:numId w:val="10"/>
        </w:numPr>
      </w:pPr>
      <w:r>
        <w:rPr>
          <w:rFonts w:ascii="Calibri" w:hAnsi="Calibri"/>
          <w:b w:val="0"/>
          <w:i w:val="0"/>
          <w:color w:val="20242A"/>
          <w:sz w:val="22"/>
        </w:rPr>
        <w:t>Verzamel voorwaarden - Leg prijzen, betaal-/levervoorwaarden, lead time, MOQ, verpakking, documentatie en logistieke aansluiting vast. Output: Vergelijkbare leverancierseisen beschikbaar.</w:t>
      </w:r>
    </w:p>
    <w:p>
      <w:pPr>
        <w:pStyle w:val="SOPStep"/>
        <w:numPr>
          <w:ilvl w:val="0"/>
          <w:numId w:val="10"/>
        </w:numPr>
      </w:pPr>
      <w:r>
        <w:rPr>
          <w:rFonts w:ascii="Calibri" w:hAnsi="Calibri"/>
          <w:b w:val="0"/>
          <w:i w:val="0"/>
          <w:color w:val="20242A"/>
          <w:sz w:val="22"/>
        </w:rPr>
        <w:t>Classificeer risico - Classificeer normaal of kritisch op klantimpact, vervangbaarheid, compliance en financiële afhankelijkheid. Output: Risicoklasse met motivatie.</w:t>
      </w:r>
    </w:p>
    <w:p>
      <w:pPr>
        <w:pStyle w:val="SOPStep"/>
        <w:numPr>
          <w:ilvl w:val="0"/>
          <w:numId w:val="10"/>
        </w:numPr>
      </w:pPr>
      <w:r>
        <w:rPr>
          <w:rFonts w:ascii="Calibri" w:hAnsi="Calibri"/>
          <w:b w:val="0"/>
          <w:i w:val="0"/>
          <w:color w:val="20242A"/>
          <w:sz w:val="22"/>
        </w:rPr>
        <w:t>Besluit en voorwaarden - Kies goedgekeurd, voorwaardelijk of geblokkeerd; kritieke leverancier wordt samen goedgekeurd. Output: Status, voorwaarden en acties vastgelegd.</w:t>
      </w:r>
    </w:p>
    <w:p>
      <w:pPr>
        <w:pStyle w:val="SOPStep"/>
        <w:numPr>
          <w:ilvl w:val="0"/>
          <w:numId w:val="10"/>
        </w:numPr>
      </w:pPr>
      <w:r>
        <w:rPr>
          <w:rFonts w:ascii="Calibri" w:hAnsi="Calibri"/>
          <w:b w:val="0"/>
          <w:i w:val="0"/>
          <w:color w:val="20242A"/>
          <w:sz w:val="22"/>
        </w:rPr>
        <w:t>Controleer eerste levering - Controleer de eerste order en ontvangst extra op artikel, aantal, documenten, schade en communicatie. Output: Eerste prestatie aantoonbaar beoordeeld.</w:t>
      </w:r>
    </w:p>
    <w:p>
      <w:pPr>
        <w:pStyle w:val="SOPStep"/>
        <w:numPr>
          <w:ilvl w:val="0"/>
          <w:numId w:val="10"/>
        </w:numPr>
      </w:pPr>
      <w:r>
        <w:rPr>
          <w:rFonts w:ascii="Calibri" w:hAnsi="Calibri"/>
          <w:b w:val="0"/>
          <w:i w:val="0"/>
          <w:color w:val="20242A"/>
          <w:sz w:val="22"/>
        </w:rPr>
        <w:t>Herbeoordeel gericht - Beoordeel actieve kritieke leveranciers jaarlijks; overige leveranciers bij afwijking of vóór een grote nieuwe afname. Output: Actuele status zonder onnodige reviews.</w:t>
      </w:r>
    </w:p>
    <w:p>
      <w:pPr>
        <w:pStyle w:val="Heading1"/>
        <w:keepNext/>
      </w:pPr>
      <w:r>
        <w:rPr>
          <w:rFonts w:ascii="Calibri" w:hAnsi="Calibri"/>
          <w:b/>
          <w:i w:val="0"/>
          <w:color w:val="2E74B5"/>
          <w:sz w:val="32"/>
        </w:rPr>
        <w:t>8. Kritieke controles</w:t>
      </w:r>
    </w:p>
    <w:p>
      <w:pPr>
        <w:pStyle w:val="SOPBullet"/>
        <w:ind w:left="540" w:hanging="270"/>
      </w:pPr>
      <w:r>
        <w:rPr>
          <w:rFonts w:ascii="Calibri" w:hAnsi="Calibri"/>
          <w:b w:val="0"/>
          <w:i w:val="0"/>
          <w:color w:val="20242A"/>
          <w:sz w:val="22"/>
        </w:rPr>
        <w:t>•</w:t>
        <w:tab/>
        <w:t>Leverancierstype, betalingstermijn en leverconditie vastleggen.</w:t>
      </w:r>
    </w:p>
    <w:p>
      <w:pPr>
        <w:pStyle w:val="SOPBullet"/>
        <w:ind w:left="540" w:hanging="270"/>
      </w:pPr>
      <w:r>
        <w:rPr>
          <w:rFonts w:ascii="Calibri" w:hAnsi="Calibri"/>
          <w:b w:val="0"/>
          <w:i w:val="0"/>
          <w:color w:val="20242A"/>
          <w:sz w:val="22"/>
        </w:rPr>
        <w:t>•</w:t>
        <w:tab/>
        <w:t>Bij een groothandel het website-/merkenbewijs bewaren.</w:t>
      </w:r>
    </w:p>
    <w:p>
      <w:pPr>
        <w:pStyle w:val="SOPBullet"/>
        <w:ind w:left="540" w:hanging="270"/>
      </w:pPr>
      <w:r>
        <w:rPr>
          <w:rFonts w:ascii="Calibri" w:hAnsi="Calibri"/>
          <w:b w:val="0"/>
          <w:i w:val="0"/>
          <w:color w:val="20242A"/>
          <w:sz w:val="22"/>
        </w:rPr>
        <w:t>•</w:t>
        <w:tab/>
        <w:t>Bankwijzigingen altijd via onafhankelijk contactkanaal bevestigen.</w:t>
      </w:r>
    </w:p>
    <w:p>
      <w:pPr>
        <w:pStyle w:val="SOPBullet"/>
        <w:ind w:left="540" w:hanging="270"/>
      </w:pPr>
      <w:r>
        <w:rPr>
          <w:rFonts w:ascii="Calibri" w:hAnsi="Calibri"/>
          <w:b w:val="0"/>
          <w:i w:val="0"/>
          <w:color w:val="20242A"/>
          <w:sz w:val="22"/>
        </w:rPr>
        <w:t>•</w:t>
        <w:tab/>
        <w:t>De eerste levering van een nieuwe leverancier extra controleren.</w:t>
      </w:r>
    </w:p>
    <w:p>
      <w:pPr>
        <w:pStyle w:val="Heading1"/>
        <w:keepNext/>
      </w:pPr>
      <w:r>
        <w:rPr>
          <w:rFonts w:ascii="Calibri" w:hAnsi="Calibri"/>
          <w:b/>
          <w:i w:val="0"/>
          <w:color w:val="2E74B5"/>
          <w:sz w:val="32"/>
        </w:rPr>
        <w:t>9. Uitzonderingen en beslismomenten</w:t>
      </w:r>
    </w:p>
    <w:p>
      <w:pPr>
        <w:pStyle w:val="SOPBullet"/>
        <w:ind w:left="540" w:hanging="270"/>
      </w:pPr>
      <w:r>
        <w:rPr>
          <w:rFonts w:ascii="Calibri" w:hAnsi="Calibri"/>
          <w:b w:val="0"/>
          <w:i w:val="0"/>
          <w:color w:val="20242A"/>
          <w:sz w:val="22"/>
        </w:rPr>
        <w:t>•</w:t>
        <w:tab/>
        <w:t>Spoedinkoop: Alleen na vastgelegde risicoafweging en tijdelijke voorwaarden; kritieke controles niet overslaan.</w:t>
      </w:r>
    </w:p>
    <w:p>
      <w:pPr>
        <w:pStyle w:val="SOPBullet"/>
        <w:ind w:left="540" w:hanging="270"/>
      </w:pPr>
      <w:r>
        <w:rPr>
          <w:rFonts w:ascii="Calibri" w:hAnsi="Calibri"/>
          <w:b w:val="0"/>
          <w:i w:val="0"/>
          <w:color w:val="20242A"/>
          <w:sz w:val="22"/>
        </w:rPr>
        <w:t>•</w:t>
        <w:tab/>
        <w:t>Bankwijziging per e-mail: Nooit direct verwerken; buiten de ontvangen e-mail om verifiëren.</w:t>
      </w:r>
    </w:p>
    <w:p>
      <w:pPr>
        <w:pStyle w:val="SOPBullet"/>
        <w:ind w:left="540" w:hanging="270"/>
      </w:pPr>
      <w:r>
        <w:rPr>
          <w:rFonts w:ascii="Calibri" w:hAnsi="Calibri"/>
          <w:b w:val="0"/>
          <w:i w:val="0"/>
          <w:color w:val="20242A"/>
          <w:sz w:val="22"/>
        </w:rPr>
        <w:t>•</w:t>
        <w:tab/>
        <w:t>Terugkerende afwijking: Status voorwaardelijk of geblokkeerd zetten en actie met deadline eisen.</w:t>
      </w:r>
    </w:p>
    <w:p>
      <w:pPr>
        <w:pStyle w:val="SOPBullet"/>
        <w:ind w:left="540" w:hanging="270"/>
      </w:pPr>
      <w:r>
        <w:rPr>
          <w:rFonts w:ascii="Calibri" w:hAnsi="Calibri"/>
          <w:b w:val="0"/>
          <w:i w:val="0"/>
          <w:color w:val="20242A"/>
          <w:sz w:val="22"/>
        </w:rPr>
        <w:t>•</w:t>
        <w:tab/>
        <w:t>Fraude/compliance-indicatie: Nieuwe bestellingen onmiddellijk blokkeren en samen beoordelen.</w:t>
      </w:r>
    </w:p>
    <w:p>
      <w:pPr>
        <w:pStyle w:val="SOPBullet"/>
        <w:ind w:left="540" w:hanging="270"/>
      </w:pPr>
      <w:r>
        <w:rPr>
          <w:rFonts w:ascii="Calibri" w:hAnsi="Calibri"/>
          <w:b w:val="0"/>
          <w:i w:val="0"/>
          <w:color w:val="20242A"/>
          <w:sz w:val="22"/>
        </w:rPr>
        <w:t>•</w:t>
        <w:tab/>
        <w:t>Afwijking voorkeursroute: Een afwijking van rechtstreekse fabrikant, 30 dagen betaling of franco levering wordt vóór bestelling bewust beoordeeld en vastgelegd.</w:t>
      </w:r>
    </w:p>
    <w:p>
      <w:pPr>
        <w:pStyle w:val="Heading1"/>
        <w:keepNext/>
      </w:pPr>
      <w:r>
        <w:rPr>
          <w:rFonts w:ascii="Calibri" w:hAnsi="Calibri"/>
          <w:b/>
          <w:i w:val="0"/>
          <w:color w:val="2E74B5"/>
          <w:sz w:val="32"/>
        </w:rPr>
        <w:t>10. Escalaties</w:t>
      </w:r>
    </w:p>
    <w:p>
      <w:pPr>
        <w:pStyle w:val="SOPBullet"/>
        <w:ind w:left="540" w:hanging="270"/>
      </w:pPr>
      <w:r>
        <w:rPr>
          <w:rFonts w:ascii="Calibri" w:hAnsi="Calibri"/>
          <w:b w:val="0"/>
          <w:i w:val="0"/>
          <w:color w:val="20242A"/>
          <w:sz w:val="22"/>
        </w:rPr>
        <w:t>•</w:t>
        <w:tab/>
        <w:t>Normaal: Vervangbaar, beperkte impact en geen kritieke compliance-afhankelijkheid.</w:t>
      </w:r>
    </w:p>
    <w:p>
      <w:pPr>
        <w:pStyle w:val="SOPBullet"/>
        <w:ind w:left="540" w:hanging="270"/>
      </w:pPr>
      <w:r>
        <w:rPr>
          <w:rFonts w:ascii="Calibri" w:hAnsi="Calibri"/>
          <w:b w:val="0"/>
          <w:i w:val="0"/>
          <w:color w:val="20242A"/>
          <w:sz w:val="22"/>
        </w:rPr>
        <w:t>•</w:t>
        <w:tab/>
        <w:t>Kritisch: Hoge klant-/compliance-impact, lastig vervangbaar of grote financiële afhankelijkheid.</w:t>
      </w:r>
    </w:p>
    <w:p>
      <w:pPr>
        <w:pStyle w:val="SOPBullet"/>
        <w:ind w:left="540" w:hanging="270"/>
      </w:pPr>
      <w:r>
        <w:rPr>
          <w:rFonts w:ascii="Calibri" w:hAnsi="Calibri"/>
          <w:b w:val="0"/>
          <w:i w:val="0"/>
          <w:color w:val="20242A"/>
          <w:sz w:val="22"/>
        </w:rPr>
        <w:t>•</w:t>
        <w:tab/>
        <w:t>Blokkeren: Fraude-indicatie, kritiek documentgebrek of onbeheerst productrisico.</w:t>
      </w:r>
    </w:p>
    <w:p>
      <w:pPr>
        <w:pStyle w:val="Heading1"/>
        <w:keepNext/>
      </w:pPr>
      <w:r>
        <w:rPr>
          <w:rFonts w:ascii="Calibri" w:hAnsi="Calibri"/>
          <w:b/>
          <w:i w:val="0"/>
          <w:color w:val="2E74B5"/>
          <w:sz w:val="32"/>
        </w:rPr>
        <w:t>11. Vereiste output en bewijs</w:t>
      </w:r>
    </w:p>
    <w:p>
      <w:pPr>
        <w:pStyle w:val="SOPBullet"/>
        <w:ind w:left="540" w:hanging="270"/>
      </w:pPr>
      <w:r>
        <w:rPr>
          <w:rFonts w:ascii="Calibri" w:hAnsi="Calibri"/>
          <w:b w:val="0"/>
          <w:i w:val="0"/>
          <w:color w:val="20242A"/>
          <w:sz w:val="22"/>
        </w:rPr>
        <w:t>•</w:t>
        <w:tab/>
        <w:t>Leveranciersstatus en voorwaarden</w:t>
      </w:r>
    </w:p>
    <w:p>
      <w:pPr>
        <w:pStyle w:val="SOPBullet"/>
        <w:ind w:left="540" w:hanging="270"/>
      </w:pPr>
      <w:r>
        <w:rPr>
          <w:rFonts w:ascii="Calibri" w:hAnsi="Calibri"/>
          <w:b w:val="0"/>
          <w:i w:val="0"/>
          <w:color w:val="20242A"/>
          <w:sz w:val="22"/>
        </w:rPr>
        <w:t>•</w:t>
        <w:tab/>
        <w:t>Bewijs van verificatie</w:t>
      </w:r>
    </w:p>
    <w:p>
      <w:pPr>
        <w:pStyle w:val="SOPBullet"/>
        <w:ind w:left="540" w:hanging="270"/>
      </w:pPr>
      <w:r>
        <w:rPr>
          <w:rFonts w:ascii="Calibri" w:hAnsi="Calibri"/>
          <w:b w:val="0"/>
          <w:i w:val="0"/>
          <w:color w:val="20242A"/>
          <w:sz w:val="22"/>
        </w:rPr>
        <w:t>•</w:t>
        <w:tab/>
        <w:t>Acties bij afwijkingen</w:t>
      </w:r>
    </w:p>
    <w:p>
      <w:pPr>
        <w:pStyle w:val="Heading1"/>
        <w:keepNext/>
      </w:pPr>
      <w:r>
        <w:rPr>
          <w:rFonts w:ascii="Calibri" w:hAnsi="Calibri"/>
          <w:b/>
          <w:i w:val="0"/>
          <w:color w:val="2E74B5"/>
          <w:sz w:val="32"/>
        </w:rPr>
        <w:t>12. Prestatie-indicatoren</w:t>
      </w:r>
    </w:p>
    <w:p>
      <w:pPr>
        <w:pStyle w:val="SOPBullet"/>
        <w:ind w:left="540" w:hanging="270"/>
      </w:pPr>
      <w:r>
        <w:rPr>
          <w:rFonts w:ascii="Calibri" w:hAnsi="Calibri"/>
          <w:b w:val="0"/>
          <w:i w:val="0"/>
          <w:color w:val="20242A"/>
          <w:sz w:val="22"/>
        </w:rPr>
        <w:t>•</w:t>
        <w:tab/>
        <w:t>Actieve kritieke leveranciers tijdig beoordeeld</w:t>
      </w:r>
    </w:p>
    <w:p>
      <w:pPr>
        <w:pStyle w:val="SOPBullet"/>
        <w:ind w:left="540" w:hanging="270"/>
      </w:pPr>
      <w:r>
        <w:rPr>
          <w:rFonts w:ascii="Calibri" w:hAnsi="Calibri"/>
          <w:b w:val="0"/>
          <w:i w:val="0"/>
          <w:color w:val="20242A"/>
          <w:sz w:val="22"/>
        </w:rPr>
        <w:t>•</w:t>
        <w:tab/>
        <w:t>afwijkingen per leverancier</w:t>
      </w:r>
    </w:p>
    <w:p>
      <w:pPr>
        <w:pStyle w:val="SOPBullet"/>
        <w:ind w:left="540" w:hanging="270"/>
      </w:pPr>
      <w:r>
        <w:rPr>
          <w:rFonts w:ascii="Calibri" w:hAnsi="Calibri"/>
          <w:b w:val="0"/>
          <w:i w:val="0"/>
          <w:color w:val="20242A"/>
          <w:sz w:val="22"/>
        </w:rPr>
        <w:t>•</w:t>
        <w:tab/>
        <w:t>first-time-right eerste levering</w:t>
      </w:r>
    </w:p>
    <w:p>
      <w:pPr>
        <w:pStyle w:val="SOPBullet"/>
        <w:ind w:left="540" w:hanging="270"/>
      </w:pPr>
      <w:r>
        <w:rPr>
          <w:rFonts w:ascii="Calibri" w:hAnsi="Calibri"/>
          <w:b w:val="0"/>
          <w:i w:val="0"/>
          <w:color w:val="20242A"/>
          <w:sz w:val="22"/>
        </w:rPr>
        <w:t>•</w:t>
        <w:tab/>
        <w:t>open leveranciersacties.</w:t>
      </w:r>
    </w:p>
    <w:p>
      <w:pPr>
        <w:pStyle w:val="Heading1"/>
        <w:keepNext/>
      </w:pPr>
      <w:r>
        <w:rPr>
          <w:rFonts w:ascii="Calibri" w:hAnsi="Calibri"/>
          <w:b/>
          <w:i w:val="0"/>
          <w:color w:val="2E74B5"/>
          <w:sz w:val="32"/>
        </w:rPr>
        <w:t>13. Veelgemaakte fouten</w:t>
      </w:r>
    </w:p>
    <w:p>
      <w:pPr>
        <w:pStyle w:val="SOPBullet"/>
        <w:ind w:left="540" w:hanging="270"/>
      </w:pPr>
      <w:r>
        <w:rPr>
          <w:rFonts w:ascii="Calibri" w:hAnsi="Calibri"/>
          <w:b w:val="0"/>
          <w:i w:val="0"/>
          <w:color w:val="20242A"/>
          <w:sz w:val="22"/>
        </w:rPr>
        <w:t>•</w:t>
        <w:tab/>
        <w:t>Bedrijfsidentiteit en contactpersoon zijn geverifieerd.</w:t>
      </w:r>
    </w:p>
    <w:p>
      <w:pPr>
        <w:pStyle w:val="SOPBullet"/>
        <w:ind w:left="540" w:hanging="270"/>
      </w:pPr>
      <w:r>
        <w:rPr>
          <w:rFonts w:ascii="Calibri" w:hAnsi="Calibri"/>
          <w:b w:val="0"/>
          <w:i w:val="0"/>
          <w:color w:val="20242A"/>
          <w:sz w:val="22"/>
        </w:rPr>
        <w:t>•</w:t>
        <w:tab/>
        <w:t>Bankgegevens zijn onafhankelijk bevestigd.</w:t>
      </w:r>
    </w:p>
    <w:p>
      <w:pPr>
        <w:pStyle w:val="SOPBullet"/>
        <w:ind w:left="540" w:hanging="270"/>
      </w:pPr>
      <w:r>
        <w:rPr>
          <w:rFonts w:ascii="Calibri" w:hAnsi="Calibri"/>
          <w:b w:val="0"/>
          <w:i w:val="0"/>
          <w:color w:val="20242A"/>
          <w:sz w:val="22"/>
        </w:rPr>
        <w:t>•</w:t>
        <w:tab/>
        <w:t>Product- en compliancevereisten zijn beoordeeld.</w:t>
      </w:r>
    </w:p>
    <w:p>
      <w:pPr>
        <w:pStyle w:val="SOPBullet"/>
        <w:ind w:left="540" w:hanging="270"/>
      </w:pPr>
      <w:r>
        <w:rPr>
          <w:rFonts w:ascii="Calibri" w:hAnsi="Calibri"/>
          <w:b w:val="0"/>
          <w:i w:val="0"/>
          <w:color w:val="20242A"/>
          <w:sz w:val="22"/>
        </w:rPr>
        <w:t>•</w:t>
        <w:tab/>
        <w:t>Prijs, voorwaarden, MOQ, lead time en verpakking zijn vastgelegd.</w:t>
      </w:r>
    </w:p>
    <w:p>
      <w:pPr>
        <w:pStyle w:val="SOPBullet"/>
        <w:ind w:left="540" w:hanging="270"/>
      </w:pPr>
      <w:r>
        <w:rPr>
          <w:rFonts w:ascii="Calibri" w:hAnsi="Calibri"/>
          <w:b w:val="0"/>
          <w:i w:val="0"/>
          <w:color w:val="20242A"/>
          <w:sz w:val="22"/>
        </w:rPr>
        <w:t>•</w:t>
        <w:tab/>
        <w:t>Risicoklasse en leveranciersstatus zijn goedgekeurd.</w:t>
      </w:r>
    </w:p>
    <w:p>
      <w:pPr>
        <w:pStyle w:val="SOPBullet"/>
        <w:ind w:left="540" w:hanging="270"/>
      </w:pPr>
      <w:r>
        <w:rPr>
          <w:rFonts w:ascii="Calibri" w:hAnsi="Calibri"/>
          <w:b w:val="0"/>
          <w:i w:val="0"/>
          <w:color w:val="20242A"/>
          <w:sz w:val="22"/>
        </w:rPr>
        <w:t>•</w:t>
        <w:tab/>
        <w:t>Extra controle van de eerste levering is gepland of uitgevoerd.</w:t>
      </w:r>
    </w:p>
    <w:p>
      <w:pPr>
        <w:pStyle w:val="SOPBullet"/>
        <w:ind w:left="540" w:hanging="270"/>
      </w:pPr>
      <w:r>
        <w:rPr>
          <w:rFonts w:ascii="Calibri" w:hAnsi="Calibri"/>
          <w:b w:val="0"/>
          <w:i w:val="0"/>
          <w:color w:val="20242A"/>
          <w:sz w:val="22"/>
        </w:rPr>
        <w:t>•</w:t>
        <w:tab/>
        <w:t>Bij gebruik van een groothandel is vastgelegd dat het een medische groothandel is en dat de website reeds ingekochte merken toont.</w:t>
      </w:r>
    </w:p>
    <w:p>
      <w:pPr>
        <w:pStyle w:val="Heading1"/>
        <w:keepNext/>
      </w:pPr>
      <w:r>
        <w:rPr>
          <w:rFonts w:ascii="Calibri" w:hAnsi="Calibri"/>
          <w:b/>
          <w:i w:val="0"/>
          <w:color w:val="2E74B5"/>
          <w:sz w:val="32"/>
        </w:rPr>
        <w:t>14. Gerelateerde SOP’s</w:t>
      </w:r>
    </w:p>
    <w:p>
      <w:pPr>
        <w:pStyle w:val="SOPBullet"/>
        <w:ind w:left="540" w:hanging="270"/>
      </w:pPr>
      <w:r>
        <w:rPr>
          <w:rFonts w:ascii="Calibri" w:hAnsi="Calibri"/>
          <w:b w:val="0"/>
          <w:i w:val="0"/>
          <w:color w:val="20242A"/>
          <w:sz w:val="22"/>
        </w:rPr>
        <w:t>•</w:t>
        <w:tab/>
        <w:t>SOP-002</w:t>
      </w:r>
    </w:p>
    <w:p>
      <w:pPr>
        <w:pStyle w:val="SOPBullet"/>
        <w:ind w:left="540" w:hanging="270"/>
      </w:pPr>
      <w:r>
        <w:rPr>
          <w:rFonts w:ascii="Calibri" w:hAnsi="Calibri"/>
          <w:b w:val="0"/>
          <w:i w:val="0"/>
          <w:color w:val="20242A"/>
          <w:sz w:val="22"/>
        </w:rPr>
        <w:t>•</w:t>
        <w:tab/>
        <w:t>SOP-004</w:t>
      </w:r>
    </w:p>
    <w:p>
      <w:pPr>
        <w:pStyle w:val="SOPBullet"/>
        <w:ind w:left="540" w:hanging="270"/>
      </w:pPr>
      <w:r>
        <w:rPr>
          <w:rFonts w:ascii="Calibri" w:hAnsi="Calibri"/>
          <w:b w:val="0"/>
          <w:i w:val="0"/>
          <w:color w:val="20242A"/>
          <w:sz w:val="22"/>
        </w:rPr>
        <w:t>•</w:t>
        <w:tab/>
        <w:t>SOP-013</w:t>
      </w:r>
    </w:p>
    <w:p>
      <w:pPr>
        <w:pStyle w:val="SOPBullet"/>
        <w:ind w:left="540" w:hanging="270"/>
      </w:pPr>
      <w:r>
        <w:rPr>
          <w:rFonts w:ascii="Calibri" w:hAnsi="Calibri"/>
          <w:b w:val="0"/>
          <w:i w:val="0"/>
          <w:color w:val="20242A"/>
          <w:sz w:val="22"/>
        </w:rPr>
        <w:t>•</w:t>
        <w:tab/>
        <w:t>SOP-014</w:t>
      </w:r>
    </w:p>
    <w:p>
      <w:pPr>
        <w:spacing w:before="320"/>
      </w:pPr>
      <w:r>
        <w:rPr>
          <w:rFonts w:ascii="Calibri" w:hAnsi="Calibri"/>
          <w:b w:val="0"/>
          <w:i/>
          <w:color w:val="667085"/>
          <w:sz w:val="18"/>
        </w:rPr>
        <w:t>Documentbeheersing: alleen de actuele, goedgekeurde versie op de centrale locatie is geldig.</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b w:val="0"/>
        <w:i w:val="0"/>
        <w:color w:val="667085"/>
        <w:sz w:val="16"/>
      </w:rPr>
      <w:t>SOP-003  |  Versie 3.1  |  Beheerst document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b/>
        <w:i w:val="0"/>
        <w:color w:val="667085"/>
        <w:sz w:val="18"/>
      </w:rPr>
      <w:t>INCO-SOURCE  |  STANDARD OPERATING PROCEDURE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decimal"/>
      <w:lvlText w:val="%1."/>
      <w:suff w:val="tab"/>
      <w:pPr>
        <w:tabs>
          <w:tab w:val="num" w:pos="540"/>
        </w:tabs>
        <w:ind w:left="540" w:hanging="270"/>
      </w:pPr>
    </w:lvl>
  </w:abstract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7365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PStep">
    <w:name w:val="SOP Step"/>
    <w:pPr>
      <w:spacing w:after="80" w:line="300" w:lineRule="auto"/>
    </w:pPr>
    <w:rPr>
      <w:rFonts w:ascii="Calibri" w:hAnsi="Calibri"/>
      <w:sz w:val="22"/>
    </w:rPr>
  </w:style>
  <w:style w:type="paragraph" w:customStyle="1" w:styleId="SOPBullet">
    <w:name w:val="SOP Bullet"/>
    <w:pPr>
      <w:spacing w:after="80" w:line="300" w:lineRule="auto"/>
    </w:pPr>
    <w:rPr>
      <w:rFonts w:ascii="Calibri" w:hAnsi="Calibri"/>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