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  <w:jc w:val="center"/>
      </w:pPr>
      <w:r>
        <w:rPr>
          <w:rFonts w:ascii="Calibri" w:hAnsi="Calibri"/>
          <w:b/>
          <w:i w:val="0"/>
          <w:color w:val="A61B1B"/>
          <w:sz w:val="18"/>
        </w:rPr>
        <w:t>STANDARD OPERATING PROCEDURE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7365D"/>
          <w:sz w:val="42"/>
        </w:rPr>
        <w:t>Goederenontvangst en voorraadboeking</w:t>
      </w:r>
    </w:p>
    <w:p>
      <w:pPr>
        <w:spacing w:before="0" w:after="140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SOP-006  •  Inco-Source Operations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00"/>
        <w:gridCol w:w="3200"/>
        <w:gridCol w:w="1500"/>
        <w:gridCol w:w="3260"/>
      </w:tblGrid>
      <w:tr>
        <w:trPr>
          <w:tblHeader w:val="true"/>
        </w:trPr>
        <w:tc>
          <w:tcPr>
            <w:tcW w:type="dxa" w:w="14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Status</w:t>
            </w:r>
          </w:p>
        </w:tc>
        <w:tc>
          <w:tcPr>
            <w:tcW w:type="dxa" w:w="3200"/>
            <w:shd w:fill="FDECEC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A61B1B"/>
                <w:sz w:val="17"/>
              </w:rPr>
              <w:t>Vervallen</w:t>
            </w:r>
          </w:p>
        </w:tc>
        <w:tc>
          <w:tcPr>
            <w:tcW w:type="dxa" w:w="15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Versie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3.0</w:t>
            </w:r>
          </w:p>
        </w:tc>
      </w:tr>
      <w:tr>
        <w:tc>
          <w:tcPr>
            <w:tcW w:type="dxa" w:w="14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Eigenaar</w:t>
            </w:r>
          </w:p>
        </w:tc>
        <w:tc>
          <w:tcPr>
            <w:tcW w:type="dxa" w:w="3200"/>
            <w:shd w:fill="FDECEC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A61B1B"/>
                <w:sz w:val="17"/>
              </w:rPr>
              <w:t>Jorn / Hidde</w:t>
            </w:r>
          </w:p>
        </w:tc>
        <w:tc>
          <w:tcPr>
            <w:tcW w:type="dxa" w:w="15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Categorie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Goederen &amp; voorraad</w:t>
            </w:r>
          </w:p>
        </w:tc>
      </w:tr>
      <w:tr>
        <w:tc>
          <w:tcPr>
            <w:tcW w:type="dxa" w:w="14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Ingangsdatum</w:t>
            </w:r>
          </w:p>
        </w:tc>
        <w:tc>
          <w:tcPr>
            <w:tcW w:type="dxa" w:w="3200"/>
            <w:shd w:fill="FDECEC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A61B1B"/>
                <w:sz w:val="17"/>
              </w:rPr>
              <w:t>21-07-2026</w:t>
            </w:r>
          </w:p>
        </w:tc>
        <w:tc>
          <w:tcPr>
            <w:tcW w:type="dxa" w:w="15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Beoordeling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Niet van toepassing</w:t>
            </w:r>
          </w:p>
        </w:tc>
      </w:tr>
    </w:tbl>
    <w:p>
      <w:pPr>
        <w:spacing w:before="60" w:after="120" w:line="252" w:lineRule="auto"/>
        <w:ind w:left="144" w:right="144"/>
        <w:shd w:fill="FDECEC"/>
      </w:pPr>
      <w:r>
        <w:rPr>
          <w:rFonts w:ascii="Calibri" w:hAnsi="Calibri"/>
          <w:b/>
          <w:i w:val="0"/>
          <w:color w:val="A61B1B"/>
          <w:sz w:val="20"/>
        </w:rPr>
        <w:t xml:space="preserve">STATUS: VERVALLEN  </w:t>
      </w:r>
      <w:r>
        <w:rPr>
          <w:rFonts w:ascii="Calibri" w:hAnsi="Calibri"/>
          <w:b w:val="0"/>
          <w:i w:val="0"/>
          <w:color w:val="1F2937"/>
          <w:sz w:val="20"/>
        </w:rPr>
        <w:t>Gebruik dit document niet meer voor operationele uitvoering.</w:t>
      </w:r>
    </w:p>
    <w:p>
      <w:pPr>
        <w:pStyle w:val="Heading1"/>
      </w:pPr>
      <w:r>
        <w:t>Vervangen door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F2937"/>
          <w:sz w:val="22"/>
        </w:rPr>
        <w:t>SOP-005 Inbound en goederenontvangst, versie 3.0</w:t>
      </w:r>
    </w:p>
    <w:p>
      <w:pPr>
        <w:pStyle w:val="Heading2"/>
      </w:pPr>
      <w:r>
        <w:t>Reden van samenvoeging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F2937"/>
          <w:sz w:val="20"/>
        </w:rPr>
        <w:t>Voorbereiding, ontvangstcontrole en voorraadboeking vormen bij Inco-Source één doorlopend proces. Samenvoeging voorkomt dubbele rollen, controles en verwijzingen.</w:t>
      </w:r>
    </w:p>
    <w:p>
      <w:pPr>
        <w:pStyle w:val="Heading2"/>
      </w:pPr>
      <w:r>
        <w:t>Overgangsmaatregelen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Gebruik vanaf 21-07-2026 uitsluitend SOP-005 Inbound en goederenontvangst, versie 3.0.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Werk verwijzingen, dashboardlinks, formulieren en instructies bij naar de vervangende SOP.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Bewaar dit document alleen als beheerst historisch bewijs; niet als uitvoeringsinstructie.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Open dossiers mogen volgens de vervangende SOP worden afgerond zodra alle verplichte gegevens zijn overgenomen.</w:t>
      </w:r>
    </w:p>
    <w:p>
      <w:pPr>
        <w:pStyle w:val="Heading2"/>
      </w:pPr>
      <w:r>
        <w:t>Beheer en revisie</w:t>
      </w:r>
    </w:p>
    <w:p>
      <w:pPr>
        <w:spacing w:before="0" w:after="60" w:line="259" w:lineRule="auto"/>
      </w:pPr>
      <w:r>
        <w:rPr>
          <w:rFonts w:ascii="Calibri" w:hAnsi="Calibri"/>
          <w:b/>
          <w:i w:val="0"/>
          <w:color w:val="17365D"/>
          <w:sz w:val="17"/>
        </w:rPr>
        <w:t>Beheer:</w:t>
      </w:r>
      <w:r>
        <w:rPr>
          <w:rFonts w:ascii="Calibri" w:hAnsi="Calibri"/>
          <w:b w:val="0"/>
          <w:i w:val="0"/>
          <w:color w:val="1F2937"/>
          <w:sz w:val="17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0"/>
        <w:gridCol w:w="1280"/>
        <w:gridCol w:w="3900"/>
        <w:gridCol w:w="1900"/>
        <w:gridCol w:w="1500"/>
      </w:tblGrid>
      <w:tr>
        <w:trPr>
          <w:tblHeader w:val="true"/>
        </w:trPr>
        <w:tc>
          <w:tcPr>
            <w:tcW w:type="dxa" w:w="78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Versie</w:t>
            </w:r>
          </w:p>
        </w:tc>
        <w:tc>
          <w:tcPr>
            <w:tcW w:type="dxa" w:w="128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39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Wijziging</w:t>
            </w:r>
          </w:p>
        </w:tc>
        <w:tc>
          <w:tcPr>
            <w:tcW w:type="dxa" w:w="19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Opsteller</w:t>
            </w:r>
          </w:p>
        </w:tc>
        <w:tc>
          <w:tcPr>
            <w:tcW w:type="dxa" w:w="15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Goedkeuring</w:t>
            </w:r>
          </w:p>
        </w:tc>
      </w:tr>
      <w:tr>
        <w:trPr>
          <w:cantSplit/>
        </w:trPr>
        <w:tc>
          <w:tcPr>
            <w:tcW w:type="dxa" w:w="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3.0</w:t>
            </w:r>
          </w:p>
        </w:tc>
        <w:tc>
          <w:tcPr>
            <w:tcW w:type="dxa" w:w="1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21-07-2026</w:t>
            </w:r>
          </w:p>
        </w:tc>
        <w:tc>
          <w:tcPr>
            <w:tcW w:type="dxa" w:w="3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Vervallen verklaard; volledige inhoud opgenomen in SOP-005 versie 3.0.</w:t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Inco-Source – Operations</w:t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Jorn / Hidde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SOP-006  •  Versie 3.0  •  Pagina </w:t>
    </w:r>
    <w:fldSimple w:instr="PAGE"/>
    <w:r>
      <w:rPr>
        <w:rFonts w:ascii="Calibri" w:hAnsi="Calibri"/>
        <w:b w:val="0"/>
        <w:i w:val="0"/>
        <w:color w:val="667085"/>
        <w:sz w:val="16"/>
      </w:rPr>
      <w:t xml:space="preserve"> van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A61B1B"/>
        <w:sz w:val="16"/>
      </w:rPr>
      <w:t>INCO-SOURCE  |  OPERATIONS  |  SOP-006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ind w:left="500" w:hanging="25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SOP-006 Goederenontvangst en voorraadboeking</dc:title>
  <dc:subject>Inco-Source Standard Operating Procedure</dc:subject>
  <dc:creator>Inco-Source</dc:creator>
  <cp:keywords>Inco-Source, SOP, operations, logistiek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