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9406" w14:textId="77777777" w:rsidR="003A149E" w:rsidRDefault="00000000">
      <w:pPr>
        <w:pBdr>
          <w:top w:val="nil"/>
          <w:left w:val="nil"/>
          <w:bottom w:val="nil"/>
          <w:right w:val="nil"/>
          <w:between w:val="nil"/>
        </w:pBdr>
        <w:jc w:val="center"/>
        <w:rPr>
          <w:sz w:val="48"/>
          <w:szCs w:val="48"/>
        </w:rPr>
      </w:pPr>
      <w:r>
        <w:rPr>
          <w:sz w:val="48"/>
          <w:szCs w:val="48"/>
        </w:rPr>
        <w:t xml:space="preserve">Peta Keterkaitan Antarsektor Ekonomi Indonesia </w:t>
      </w:r>
    </w:p>
    <w:p w14:paraId="53F36FB6" w14:textId="77777777" w:rsidR="003A149E" w:rsidRDefault="00000000">
      <w:pPr>
        <w:pBdr>
          <w:top w:val="nil"/>
          <w:left w:val="nil"/>
          <w:bottom w:val="nil"/>
          <w:right w:val="nil"/>
          <w:between w:val="nil"/>
        </w:pBdr>
        <w:jc w:val="center"/>
        <w:rPr>
          <w:sz w:val="48"/>
          <w:szCs w:val="48"/>
        </w:rPr>
      </w:pPr>
      <w:r>
        <w:rPr>
          <w:sz w:val="36"/>
          <w:szCs w:val="36"/>
        </w:rPr>
        <w:t>Visualisasi Jaringan, Hierarki, dan Aliran pada Tabel Input-Output BPS 2020</w:t>
      </w:r>
    </w:p>
    <w:p w14:paraId="3D118889" w14:textId="77777777" w:rsidR="003A149E" w:rsidRDefault="00000000">
      <w:pPr>
        <w:pBdr>
          <w:top w:val="nil"/>
          <w:left w:val="nil"/>
          <w:bottom w:val="nil"/>
          <w:right w:val="nil"/>
          <w:between w:val="nil"/>
        </w:pBdr>
        <w:spacing w:before="120" w:after="120"/>
        <w:jc w:val="center"/>
        <w:rPr>
          <w:sz w:val="22"/>
          <w:szCs w:val="22"/>
        </w:rPr>
      </w:pPr>
      <w:r>
        <w:rPr>
          <w:sz w:val="22"/>
          <w:szCs w:val="22"/>
        </w:rPr>
        <w:t>[ISI: Nama Lengkap Mahasiswa] ([ISI: NIM], [ISI: Kelas])</w:t>
      </w:r>
    </w:p>
    <w:p w14:paraId="64AFCD6E" w14:textId="77777777" w:rsidR="003A149E" w:rsidRDefault="00000000">
      <w:pPr>
        <w:jc w:val="center"/>
      </w:pPr>
      <w:r>
        <w:rPr>
          <w:sz w:val="20"/>
          <w:szCs w:val="20"/>
        </w:rPr>
        <w:t>Dosen Pengampu Mata Kuliah: Siti Mariyah, Ph.D. dan Farid Ridho, M.T.</w:t>
      </w:r>
    </w:p>
    <w:p w14:paraId="4768D0BF" w14:textId="77777777" w:rsidR="003A149E" w:rsidRDefault="003A149E">
      <w:pPr>
        <w:jc w:val="center"/>
        <w:rPr>
          <w:sz w:val="20"/>
          <w:szCs w:val="20"/>
        </w:rPr>
      </w:pPr>
    </w:p>
    <w:p w14:paraId="1B1D1CC9" w14:textId="77777777" w:rsidR="003A149E" w:rsidRDefault="003A149E">
      <w:pPr>
        <w:sectPr w:rsidR="003A149E">
          <w:headerReference w:type="even" r:id="rId8"/>
          <w:headerReference w:type="default" r:id="rId9"/>
          <w:footerReference w:type="default" r:id="rId10"/>
          <w:pgSz w:w="11906" w:h="16838"/>
          <w:pgMar w:top="1077" w:right="811" w:bottom="1843" w:left="811" w:header="432" w:footer="432" w:gutter="0"/>
          <w:pgNumType w:start="1"/>
          <w:cols w:space="720"/>
        </w:sectPr>
      </w:pPr>
    </w:p>
    <w:p w14:paraId="46E605FD" w14:textId="77777777" w:rsidR="003A149E" w:rsidRDefault="00000000">
      <w:pPr>
        <w:pBdr>
          <w:top w:val="nil"/>
          <w:left w:val="nil"/>
          <w:bottom w:val="nil"/>
          <w:right w:val="nil"/>
          <w:between w:val="nil"/>
        </w:pBdr>
        <w:spacing w:before="20"/>
        <w:ind w:firstLine="202"/>
        <w:jc w:val="both"/>
        <w:rPr>
          <w:b/>
          <w:bCs/>
          <w:sz w:val="18"/>
          <w:szCs w:val="18"/>
        </w:rPr>
      </w:pPr>
      <w:r>
        <w:rPr>
          <w:b/>
          <w:bCs/>
          <w:i/>
          <w:iCs/>
          <w:sz w:val="18"/>
          <w:szCs w:val="18"/>
        </w:rPr>
        <w:t>Abstrak</w:t>
      </w:r>
      <w:r>
        <w:rPr>
          <w:b/>
          <w:bCs/>
          <w:sz w:val="18"/>
          <w:szCs w:val="18"/>
        </w:rPr>
        <w:t>— Keterkaitan antarsektor menentukan seberapa jauh dorongan pada satu sektor menjalar ke seluruh perekonomian, tetapi Tabel Input-Output (I-O) berukuran 185 × 185 sulit dibaca dalam bentuk angka. Makalah ini memaparkan laman web interaktif yang memvisualisasikan Tabel I-O Indonesia 2020 dari Badan Pusat Statistik (BPS) melalui tiga topik visualisasi: jaringan, hierarki, dan aliran. Jaringan antarsektor ditampilkan dengan graf node-link force-directed dan matriks adjasensi; ukuran node mengikuti sentralitas dan warna mengikuti komunitas hasil algoritma Louvain. Hierarki sektor (kelompok primer–sekunder–tersier, 17 kategori, dan 185 produk) ditampilkan dengan treemap dan sunburst yang dilengkapi drill-down. Aliran antarkategori ditampilkan dengan diagram Sankey dan chord. Data diolah dengan Python, divisualisasikan dengan D3.js, dan di-deploy melalui GitHub Pages. [ISI: satu–dua kalimat temuan utama, misalnya sektor dengan keterkaitan ke belakang dan ke depan tertinggi.] Evaluasi rancangan mencakup uji keterbacaan pada ponsel dan palet warna ramah buta warna.</w:t>
      </w:r>
    </w:p>
    <w:p w14:paraId="018092E1" w14:textId="77777777" w:rsidR="003A149E" w:rsidRDefault="00000000">
      <w:pPr>
        <w:pBdr>
          <w:top w:val="nil"/>
          <w:left w:val="nil"/>
          <w:bottom w:val="nil"/>
          <w:right w:val="nil"/>
          <w:between w:val="nil"/>
        </w:pBdr>
        <w:ind w:firstLine="202"/>
        <w:jc w:val="both"/>
        <w:rPr>
          <w:b/>
          <w:bCs/>
          <w:sz w:val="18"/>
          <w:szCs w:val="18"/>
          <w:highlight w:val="white"/>
        </w:rPr>
      </w:pPr>
      <w:r>
        <w:rPr>
          <w:b/>
          <w:bCs/>
          <w:i/>
          <w:iCs/>
          <w:sz w:val="18"/>
          <w:szCs w:val="18"/>
        </w:rPr>
        <w:t>Kata Kunci</w:t>
      </w:r>
      <w:r>
        <w:rPr>
          <w:b/>
          <w:bCs/>
          <w:sz w:val="18"/>
          <w:szCs w:val="18"/>
        </w:rPr>
        <w:t xml:space="preserve">— </w:t>
      </w:r>
      <w:r>
        <w:rPr>
          <w:b/>
          <w:bCs/>
          <w:sz w:val="18"/>
          <w:szCs w:val="18"/>
          <w:highlight w:val="white"/>
        </w:rPr>
        <w:t>visualisasi data, tabel input-output, analisis jaringan, treemap, diagram Sankey</w:t>
      </w:r>
    </w:p>
    <w:p w14:paraId="3C8F7EA8" w14:textId="77777777" w:rsidR="003A149E" w:rsidRDefault="003A149E"/>
    <w:p w14:paraId="67FAC05B"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Pendahuluan</w:t>
      </w:r>
    </w:p>
    <w:p w14:paraId="19B259BF" w14:textId="77777777" w:rsidR="003A149E" w:rsidRDefault="00000000">
      <w:pPr>
        <w:pBdr>
          <w:top w:val="nil"/>
          <w:left w:val="nil"/>
          <w:bottom w:val="nil"/>
          <w:right w:val="nil"/>
          <w:between w:val="nil"/>
        </w:pBdr>
        <w:ind w:firstLine="216"/>
        <w:jc w:val="both"/>
        <w:rPr>
          <w:sz w:val="20"/>
          <w:szCs w:val="20"/>
        </w:rPr>
      </w:pPr>
      <w:r>
        <w:rPr>
          <w:sz w:val="20"/>
          <w:szCs w:val="20"/>
        </w:rPr>
        <w:t>Perekonomian suatu negara bekerja sebagai jaringan sektor yang saling memasok dan saling menggunakan. Dorongan pada satu sektor, misalnya melalui kebijakan hilirisasi industri atau pembangunan infrastruktur, tidak berhenti di sektor itu, tetapi menjalar ke pemasok dan pengguna produknya [ISI: sitasi dokumen kebijakan atau studi yang menyebut hilirisasi/rantai pasok sebagai prioritas pembangunan Indonesia]. Untuk menelusuri penjalaran tersebut, perencana kebijakan memerlukan gambaran yang jelas tentang sektor mana yang paling terhubung dan ke mana nilai ekonomi mengalir.</w:t>
      </w:r>
    </w:p>
    <w:p w14:paraId="6A29C36F" w14:textId="77777777" w:rsidR="003A149E" w:rsidRDefault="00000000">
      <w:pPr>
        <w:pBdr>
          <w:top w:val="nil"/>
          <w:left w:val="nil"/>
          <w:bottom w:val="nil"/>
          <w:right w:val="nil"/>
          <w:between w:val="nil"/>
        </w:pBdr>
        <w:ind w:firstLine="216"/>
        <w:jc w:val="both"/>
        <w:rPr>
          <w:sz w:val="20"/>
          <w:szCs w:val="20"/>
        </w:rPr>
      </w:pPr>
      <w:r>
        <w:rPr>
          <w:sz w:val="20"/>
          <w:szCs w:val="20"/>
        </w:rPr>
        <w:t>Tabel Input-Output (I-O) merekam keterkaitan itu. Tabel ini menggambarkan transaksi barang dan jasa antarsektor dalam satu perekonomian dan menjadi dasar analisis keterkaitan, pengganda, dan dampak kebijakan [3]. BPS menerbitkannya secara berkala. Edisi 2020 dirilis pada Januari 2025 dan disajikan dalam harga dasar maupun harga pembeli dengan rincian 185 produk [1], [2].</w:t>
      </w:r>
    </w:p>
    <w:p w14:paraId="5F3B6B5D" w14:textId="77777777" w:rsidR="003A149E" w:rsidRDefault="00000000">
      <w:pPr>
        <w:pBdr>
          <w:top w:val="nil"/>
          <w:left w:val="nil"/>
          <w:bottom w:val="nil"/>
          <w:right w:val="nil"/>
          <w:between w:val="nil"/>
        </w:pBdr>
        <w:ind w:firstLine="216"/>
        <w:jc w:val="both"/>
        <w:rPr>
          <w:sz w:val="20"/>
          <w:szCs w:val="20"/>
        </w:rPr>
      </w:pPr>
      <w:r>
        <w:rPr>
          <w:sz w:val="20"/>
          <w:szCs w:val="20"/>
        </w:rPr>
        <w:t xml:space="preserve">Kendala utamanya adalah keterbacaan. Matriks 185 × 185 memuat 34.225 sel transaksi yang sulit ditelaah tanpa alat bantu. Analisis yang ada umumnya menyajikan hasilnya sebagai tabel dan indeks keterkaitan, misalnya untuk mengidentifikasi sektor unggulan [3], [4]. Cara ini efektif bagi ekonom, tetapi tidak mudah diikuti oleh pembaca lain seperti perencana daerah dan mahasiswa. Dari tabel dan indeks, mereka sulit melihat sektor mana yang menjadi pusat jaringan, bagaimana sektor-sektor terkelompok, dan ke mana nilai mengalir. Sebaliknya, visualisasi yang dirancang berdasarkan prinsip persepsi dan taksonomi tugas dapat membantu pembaca menemukan pola yang tidak tampak pada deretan angka [5]. </w:t>
      </w:r>
      <w:r>
        <w:rPr>
          <w:sz w:val="20"/>
          <w:szCs w:val="20"/>
        </w:rPr>
        <w:t>Namun, laman eksplorasi interaktif atas Tabel I-O BPS yang terbuka bagi publik masih terbatas [ISI: pastikan klaim ini setelah pencarian literatur dan cek ulang bila Anda menemukan proyek sejenis].</w:t>
      </w:r>
    </w:p>
    <w:p w14:paraId="0592BA29" w14:textId="77777777" w:rsidR="003A149E" w:rsidRDefault="00000000">
      <w:pPr>
        <w:pBdr>
          <w:top w:val="nil"/>
          <w:left w:val="nil"/>
          <w:bottom w:val="nil"/>
          <w:right w:val="nil"/>
          <w:between w:val="nil"/>
        </w:pBdr>
        <w:ind w:firstLine="216"/>
        <w:jc w:val="both"/>
        <w:rPr>
          <w:sz w:val="20"/>
          <w:szCs w:val="20"/>
        </w:rPr>
      </w:pPr>
      <w:r>
        <w:rPr>
          <w:sz w:val="20"/>
          <w:szCs w:val="20"/>
        </w:rPr>
        <w:t>Berdasarkan permasalahan tersebut, proyek ini bertujuan (1) membangun laman web interaktif yang dapat diakses publik untuk menjelajahi Tabel I-O BPS; (2) menerapkan tiga topik visualisasi yang saling melengkapi, yaitu data berjaring untuk melihat siapa terhubung dengan siapa, data berhierarki untuk melihat struktur sektor secara bertingkat, dan data aliran untuk melihat arah serta volume transaksi antarkategori; dan (3) menurunkan temuan tentang sektor kunci dan pola keterkaitan antarsektor. Kontribusinya adalah alur pengolahan yang dapat direproduksi, rancangan yang menautkan tiga sudut pandang tersebut, dan evaluasi rancangan terhadap keterbacaan serta aksesibilitas warna.</w:t>
      </w:r>
    </w:p>
    <w:p w14:paraId="68FC7588" w14:textId="77777777" w:rsidR="003A149E" w:rsidRDefault="00000000">
      <w:pPr>
        <w:pBdr>
          <w:top w:val="nil"/>
          <w:left w:val="nil"/>
          <w:bottom w:val="nil"/>
          <w:right w:val="nil"/>
          <w:between w:val="nil"/>
        </w:pBdr>
        <w:ind w:firstLine="216"/>
        <w:jc w:val="both"/>
        <w:rPr>
          <w:sz w:val="20"/>
          <w:szCs w:val="20"/>
        </w:rPr>
      </w:pPr>
      <w:r>
        <w:rPr>
          <w:sz w:val="20"/>
          <w:szCs w:val="20"/>
        </w:rPr>
        <w:t>Makalah ini disusun sebagai berikut. Bagian II mengulas penelitian terkait, Bagian III menjelaskan metodologi, Bagian IV memaparkan hasil dan pembahasan, dan Bagian V menyimpulkan.</w:t>
      </w:r>
    </w:p>
    <w:p w14:paraId="3835DCEA"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Penelitian Terkait</w:t>
      </w:r>
    </w:p>
    <w:p w14:paraId="0568D62D" w14:textId="77777777" w:rsidR="003A149E" w:rsidRDefault="00000000">
      <w:pPr>
        <w:spacing w:after="38" w:line="256" w:lineRule="auto"/>
        <w:ind w:left="10" w:hanging="10"/>
        <w:jc w:val="both"/>
        <w:rPr>
          <w:color w:val="000000"/>
          <w:sz w:val="20"/>
          <w:szCs w:val="20"/>
        </w:rPr>
      </w:pPr>
      <w:r>
        <w:rPr>
          <w:i/>
          <w:iCs/>
          <w:sz w:val="20"/>
          <w:szCs w:val="20"/>
        </w:rPr>
        <w:t>A. Analisis keterkaitan antarsektor</w:t>
      </w:r>
    </w:p>
    <w:p w14:paraId="21ED35AC" w14:textId="77777777" w:rsidR="003A149E" w:rsidRDefault="00000000">
      <w:pPr>
        <w:pBdr>
          <w:top w:val="nil"/>
          <w:left w:val="nil"/>
          <w:bottom w:val="nil"/>
          <w:right w:val="nil"/>
          <w:between w:val="nil"/>
        </w:pBdr>
        <w:ind w:firstLine="216"/>
        <w:jc w:val="both"/>
        <w:rPr>
          <w:sz w:val="20"/>
          <w:szCs w:val="20"/>
        </w:rPr>
      </w:pPr>
      <w:r>
        <w:rPr>
          <w:sz w:val="20"/>
          <w:szCs w:val="20"/>
        </w:rPr>
        <w:t>Analisis I-O berakar pada kerangka Leontief [6]. Rasmussen dan Hirschman mengembangkan indeks keterkaitan ke belakang dan ke depan untuk mengidentifikasi sektor kunci [7], [8], dan buku teks Miller dan Blair merangkum metodenya secara menyeluruh [3]. Di Indonesia, Nugroho menganalisis Tabel I-O 2010, 2016, dan 2020 dengan pengganda dan indeks keterkaitan, lalu menyimpulkan bahwa industri pengolahan merupakan sektor unggulan [4]. [ISI: periksa apakah studi tersebut menyertakan visualisasi interaktif; jika tidak, posisikan proyek ini sebagai pelengkap visual atas analisis tersebut.]</w:t>
      </w:r>
    </w:p>
    <w:p w14:paraId="2430B93D" w14:textId="77777777" w:rsidR="003A149E" w:rsidRDefault="00000000">
      <w:pPr>
        <w:spacing w:after="38" w:line="256" w:lineRule="auto"/>
        <w:ind w:left="10" w:hanging="10"/>
        <w:jc w:val="both"/>
        <w:rPr>
          <w:color w:val="000000"/>
          <w:sz w:val="20"/>
          <w:szCs w:val="20"/>
        </w:rPr>
      </w:pPr>
      <w:r>
        <w:rPr>
          <w:i/>
          <w:iCs/>
          <w:sz w:val="20"/>
          <w:szCs w:val="20"/>
        </w:rPr>
        <w:t>B. Visualisasi data berjaring, berhierarki, dan aliran</w:t>
      </w:r>
    </w:p>
    <w:p w14:paraId="7C3F2403" w14:textId="77777777" w:rsidR="003A149E" w:rsidRDefault="00000000">
      <w:pPr>
        <w:pBdr>
          <w:top w:val="nil"/>
          <w:left w:val="nil"/>
          <w:bottom w:val="nil"/>
          <w:right w:val="nil"/>
          <w:between w:val="nil"/>
        </w:pBdr>
        <w:ind w:firstLine="216"/>
        <w:jc w:val="both"/>
        <w:rPr>
          <w:sz w:val="20"/>
          <w:szCs w:val="20"/>
        </w:rPr>
      </w:pPr>
      <w:r>
        <w:rPr>
          <w:sz w:val="20"/>
          <w:szCs w:val="20"/>
        </w:rPr>
        <w:t>Prinsip “overview first, zoom and filter, then details-on-demand” dari Shneiderman menjadi acuan interaksi pada proyek ini [9]. Untuk data berjaring, tata letak force-directed memposisikan node berdasarkan tarik-menarik dan tolak-menolak antar-node [10]. Komunitas dapat dideteksi dengan optimasi modularitas [11], [12], dan perangkat seperti Gephi mempopulerkan eksplorasi jaringan secara visual [13]. Untuk data berhierarki, treemap dan sunburst menyandikan ukuran dan warna pada dua variabel berbeda [5]. Untuk data aliran, diagram Sankey dan chord, yang dipopulerkan oleh Circos [16], memperlihatkan volume dan arah aliran antarentitas. [ISI: tambahkan 1–2 studi visualisasi I-O atau perdagangan sejenis dari jurnal/konferensi yang Anda temukan sendiri.]</w:t>
      </w:r>
    </w:p>
    <w:p w14:paraId="1D55728A" w14:textId="77777777" w:rsidR="003A149E" w:rsidRDefault="00000000">
      <w:pPr>
        <w:spacing w:after="38" w:line="256" w:lineRule="auto"/>
        <w:ind w:left="10" w:hanging="10"/>
        <w:jc w:val="both"/>
        <w:rPr>
          <w:color w:val="000000"/>
          <w:sz w:val="20"/>
          <w:szCs w:val="20"/>
        </w:rPr>
      </w:pPr>
      <w:r>
        <w:rPr>
          <w:i/>
          <w:iCs/>
          <w:sz w:val="20"/>
          <w:szCs w:val="20"/>
        </w:rPr>
        <w:t>C. Perangkat visualisasi</w:t>
      </w:r>
    </w:p>
    <w:p w14:paraId="7217DDE3" w14:textId="77777777" w:rsidR="003A149E" w:rsidRDefault="00000000">
      <w:pPr>
        <w:pBdr>
          <w:top w:val="nil"/>
          <w:left w:val="nil"/>
          <w:bottom w:val="nil"/>
          <w:right w:val="nil"/>
          <w:between w:val="nil"/>
        </w:pBdr>
        <w:ind w:firstLine="216"/>
        <w:jc w:val="both"/>
        <w:rPr>
          <w:sz w:val="20"/>
          <w:szCs w:val="20"/>
        </w:rPr>
      </w:pPr>
      <w:r>
        <w:rPr>
          <w:sz w:val="20"/>
          <w:szCs w:val="20"/>
        </w:rPr>
        <w:lastRenderedPageBreak/>
        <w:t>D3.js menyediakan pengikatan data ke elemen dokumen dan menjadi dasar banyak visualisasi web [14]. Vega-Lite menawarkan tata bahasa deklaratif untuk grafik interaktif [15]. Proyek ini memakai D3.js karena memberi kendali penuh atas encoding dan interaksi untuk graf force-directed, treemap, sunburst, Sankey, dan chord dalam satu laman. [ISI: tambahkan alasan Anda sendiri memilih D3.js dibanding perangkat lain.]</w:t>
      </w:r>
    </w:p>
    <w:p w14:paraId="18A851CA"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Metodologi</w:t>
      </w:r>
    </w:p>
    <w:p w14:paraId="0C5683D5" w14:textId="77777777" w:rsidR="003A149E" w:rsidRDefault="00000000">
      <w:pPr>
        <w:spacing w:after="38" w:line="256" w:lineRule="auto"/>
        <w:ind w:left="10" w:hanging="10"/>
        <w:jc w:val="both"/>
        <w:rPr>
          <w:color w:val="000000"/>
          <w:sz w:val="20"/>
          <w:szCs w:val="20"/>
        </w:rPr>
      </w:pPr>
      <w:r>
        <w:rPr>
          <w:i/>
          <w:iCs/>
          <w:sz w:val="20"/>
          <w:szCs w:val="20"/>
        </w:rPr>
        <w:t>A. Data BPS</w:t>
      </w:r>
    </w:p>
    <w:p w14:paraId="6E0C46DC" w14:textId="77777777" w:rsidR="003A149E" w:rsidRDefault="00000000">
      <w:pPr>
        <w:pBdr>
          <w:top w:val="nil"/>
          <w:left w:val="nil"/>
          <w:bottom w:val="nil"/>
          <w:right w:val="nil"/>
          <w:between w:val="nil"/>
        </w:pBdr>
        <w:ind w:firstLine="216"/>
        <w:jc w:val="both"/>
        <w:rPr>
          <w:sz w:val="20"/>
          <w:szCs w:val="20"/>
        </w:rPr>
      </w:pPr>
      <w:r>
        <w:rPr>
          <w:sz w:val="20"/>
          <w:szCs w:val="20"/>
        </w:rPr>
        <w:t>Data utama berasal dari Tabel I-O Indonesia 2020 yang diterbitkan BPS [1], [2], [18], yaitu tabel transaksi total atas dasar harga dasar (185 produk) dan tabel transaksi domestik atas dasar harga dasar (17 produk), keduanya dalam juta rupiah. Tabel total memuat transaksi atas produk domestik dan impor. Graf, indeks keterkaitan, dan agregasi 17 kategori dihitung dari tabel 185 produk, sedangkan tabel 17 produk dipakai untuk memvalidasi pemetaan kategori.</w:t>
      </w:r>
    </w:p>
    <w:p w14:paraId="680766DF" w14:textId="77777777" w:rsidR="003A149E" w:rsidRDefault="00000000">
      <w:pPr>
        <w:keepNext/>
        <w:keepLines/>
        <w:spacing w:line="256" w:lineRule="auto"/>
        <w:ind w:left="10"/>
        <w:jc w:val="center"/>
        <w:rPr>
          <w:color w:val="000000"/>
          <w:sz w:val="16"/>
          <w:szCs w:val="16"/>
        </w:rPr>
      </w:pPr>
      <w:r>
        <w:rPr>
          <w:color w:val="000000"/>
          <w:sz w:val="16"/>
          <w:szCs w:val="16"/>
        </w:rPr>
        <w:t>TABEL I</w:t>
      </w:r>
    </w:p>
    <w:p w14:paraId="7F026A13" w14:textId="77777777" w:rsidR="003A149E" w:rsidRDefault="00000000">
      <w:pPr>
        <w:keepNext/>
        <w:spacing w:line="257" w:lineRule="auto"/>
        <w:jc w:val="center"/>
        <w:rPr>
          <w:color w:val="000000"/>
          <w:sz w:val="20"/>
          <w:szCs w:val="20"/>
        </w:rPr>
      </w:pPr>
      <w:r>
        <w:rPr>
          <w:color w:val="000000"/>
          <w:sz w:val="16"/>
          <w:szCs w:val="16"/>
        </w:rPr>
        <w:t>SUMBER DATA BPS YANG DIGUNAKAN</w:t>
      </w:r>
    </w:p>
    <w:tbl>
      <w:tblPr>
        <w:tblStyle w:val="a"/>
        <w:tblW w:w="4906" w:type="dxa"/>
        <w:tblInd w:w="107" w:type="dxa"/>
        <w:tblLayout w:type="fixed"/>
        <w:tblLook w:val="0400" w:firstRow="0" w:lastRow="0" w:firstColumn="0" w:lastColumn="0" w:noHBand="0" w:noVBand="1"/>
      </w:tblPr>
      <w:tblGrid>
        <w:gridCol w:w="1250"/>
        <w:gridCol w:w="700"/>
        <w:gridCol w:w="2100"/>
        <w:gridCol w:w="856"/>
      </w:tblGrid>
      <w:tr w:rsidR="003A149E" w14:paraId="7D5BC5D1" w14:textId="77777777">
        <w:trPr>
          <w:cantSplit/>
          <w:tblHeader/>
        </w:trPr>
        <w:tc>
          <w:tcPr>
            <w:tcW w:w="1250" w:type="dxa"/>
            <w:tcBorders>
              <w:top w:val="single" w:sz="4" w:space="0" w:color="000000"/>
              <w:left w:val="single" w:sz="4" w:space="0" w:color="000000"/>
              <w:bottom w:val="single" w:sz="4" w:space="0" w:color="000000"/>
              <w:right w:val="single" w:sz="4" w:space="0" w:color="000000"/>
            </w:tcBorders>
          </w:tcPr>
          <w:p w14:paraId="1AAC5EC7" w14:textId="77777777" w:rsidR="003A149E" w:rsidRDefault="00000000">
            <w:pPr>
              <w:spacing w:line="256" w:lineRule="auto"/>
            </w:pPr>
            <w:r>
              <w:rPr>
                <w:rFonts w:ascii="Times New Roman" w:eastAsia="Times New Roman" w:hAnsi="Times New Roman" w:cs="Times New Roman"/>
                <w:i/>
                <w:iCs/>
                <w:sz w:val="16"/>
                <w:szCs w:val="16"/>
              </w:rPr>
              <w:t>Judul tabel/publikasi</w:t>
            </w:r>
          </w:p>
        </w:tc>
        <w:tc>
          <w:tcPr>
            <w:tcW w:w="700" w:type="dxa"/>
            <w:tcBorders>
              <w:top w:val="single" w:sz="4" w:space="0" w:color="000000"/>
              <w:left w:val="single" w:sz="4" w:space="0" w:color="000000"/>
              <w:bottom w:val="single" w:sz="4" w:space="0" w:color="000000"/>
              <w:right w:val="single" w:sz="4" w:space="0" w:color="000000"/>
            </w:tcBorders>
          </w:tcPr>
          <w:p w14:paraId="61BCC624" w14:textId="77777777" w:rsidR="003A149E" w:rsidRDefault="00000000">
            <w:pPr>
              <w:spacing w:line="256" w:lineRule="auto"/>
            </w:pPr>
            <w:r>
              <w:rPr>
                <w:rFonts w:ascii="Times New Roman" w:eastAsia="Times New Roman" w:hAnsi="Times New Roman" w:cs="Times New Roman"/>
                <w:i/>
                <w:iCs/>
                <w:sz w:val="16"/>
                <w:szCs w:val="16"/>
              </w:rPr>
              <w:t>Tahun</w:t>
            </w:r>
          </w:p>
        </w:tc>
        <w:tc>
          <w:tcPr>
            <w:tcW w:w="2100" w:type="dxa"/>
            <w:tcBorders>
              <w:top w:val="single" w:sz="4" w:space="0" w:color="000000"/>
              <w:left w:val="single" w:sz="4" w:space="0" w:color="000000"/>
              <w:bottom w:val="single" w:sz="4" w:space="0" w:color="000000"/>
              <w:right w:val="single" w:sz="4" w:space="0" w:color="000000"/>
            </w:tcBorders>
          </w:tcPr>
          <w:p w14:paraId="220A48B8" w14:textId="77777777" w:rsidR="003A149E" w:rsidRDefault="00000000">
            <w:pPr>
              <w:spacing w:line="256" w:lineRule="auto"/>
            </w:pPr>
            <w:r>
              <w:rPr>
                <w:rFonts w:ascii="Times New Roman" w:eastAsia="Times New Roman" w:hAnsi="Times New Roman" w:cs="Times New Roman"/>
                <w:i/>
                <w:iCs/>
                <w:sz w:val="16"/>
                <w:szCs w:val="16"/>
              </w:rPr>
              <w:t>URL</w:t>
            </w:r>
          </w:p>
        </w:tc>
        <w:tc>
          <w:tcPr>
            <w:tcW w:w="856" w:type="dxa"/>
            <w:tcBorders>
              <w:top w:val="single" w:sz="4" w:space="0" w:color="000000"/>
              <w:left w:val="single" w:sz="4" w:space="0" w:color="000000"/>
              <w:bottom w:val="single" w:sz="4" w:space="0" w:color="000000"/>
              <w:right w:val="single" w:sz="4" w:space="0" w:color="000000"/>
            </w:tcBorders>
          </w:tcPr>
          <w:p w14:paraId="7F94750F" w14:textId="77777777" w:rsidR="003A149E" w:rsidRDefault="00000000">
            <w:pPr>
              <w:spacing w:line="256" w:lineRule="auto"/>
            </w:pPr>
            <w:r>
              <w:rPr>
                <w:rFonts w:ascii="Times New Roman" w:eastAsia="Times New Roman" w:hAnsi="Times New Roman" w:cs="Times New Roman"/>
                <w:i/>
                <w:iCs/>
                <w:sz w:val="16"/>
                <w:szCs w:val="16"/>
              </w:rPr>
              <w:t>Tanggal akses</w:t>
            </w:r>
          </w:p>
        </w:tc>
      </w:tr>
      <w:tr w:rsidR="003A149E" w14:paraId="2C264C6F" w14:textId="77777777">
        <w:trPr>
          <w:cantSplit/>
        </w:trPr>
        <w:tc>
          <w:tcPr>
            <w:tcW w:w="1250" w:type="dxa"/>
            <w:tcBorders>
              <w:top w:val="single" w:sz="4" w:space="0" w:color="000000"/>
              <w:left w:val="single" w:sz="4" w:space="0" w:color="000000"/>
              <w:bottom w:val="single" w:sz="4" w:space="0" w:color="000000"/>
              <w:right w:val="single" w:sz="4" w:space="0" w:color="000000"/>
            </w:tcBorders>
          </w:tcPr>
          <w:p w14:paraId="44C0EF6B" w14:textId="77777777" w:rsidR="003A149E" w:rsidRDefault="00000000">
            <w:pPr>
              <w:spacing w:line="256" w:lineRule="auto"/>
            </w:pPr>
            <w:r>
              <w:rPr>
                <w:rFonts w:ascii="Times New Roman" w:eastAsia="Times New Roman" w:hAnsi="Times New Roman" w:cs="Times New Roman"/>
                <w:sz w:val="16"/>
                <w:szCs w:val="16"/>
              </w:rPr>
              <w:t>Tabel Input-Output Indonesia Transaksi Total Atas Dasar Harga Dasar (185 Produk)</w:t>
            </w:r>
          </w:p>
        </w:tc>
        <w:tc>
          <w:tcPr>
            <w:tcW w:w="700" w:type="dxa"/>
            <w:tcBorders>
              <w:top w:val="single" w:sz="4" w:space="0" w:color="000000"/>
              <w:left w:val="single" w:sz="4" w:space="0" w:color="000000"/>
              <w:bottom w:val="single" w:sz="4" w:space="0" w:color="000000"/>
              <w:right w:val="single" w:sz="4" w:space="0" w:color="000000"/>
            </w:tcBorders>
          </w:tcPr>
          <w:p w14:paraId="38ADA587" w14:textId="77777777" w:rsidR="003A149E" w:rsidRDefault="00000000">
            <w:pPr>
              <w:spacing w:line="256" w:lineRule="auto"/>
            </w:pPr>
            <w:r>
              <w:rPr>
                <w:rFonts w:ascii="Times New Roman" w:eastAsia="Times New Roman" w:hAnsi="Times New Roman" w:cs="Times New Roman"/>
                <w:sz w:val="16"/>
                <w:szCs w:val="16"/>
              </w:rPr>
              <w:t>2020</w:t>
            </w:r>
          </w:p>
        </w:tc>
        <w:tc>
          <w:tcPr>
            <w:tcW w:w="2100" w:type="dxa"/>
            <w:tcBorders>
              <w:top w:val="single" w:sz="4" w:space="0" w:color="000000"/>
              <w:left w:val="single" w:sz="4" w:space="0" w:color="000000"/>
              <w:bottom w:val="single" w:sz="4" w:space="0" w:color="000000"/>
              <w:right w:val="single" w:sz="4" w:space="0" w:color="000000"/>
            </w:tcBorders>
          </w:tcPr>
          <w:p w14:paraId="78B3F4B8" w14:textId="77777777" w:rsidR="003A149E" w:rsidRDefault="00000000">
            <w:pPr>
              <w:spacing w:line="256" w:lineRule="auto"/>
            </w:pPr>
            <w:r>
              <w:rPr>
                <w:rFonts w:ascii="Times New Roman" w:eastAsia="Times New Roman" w:hAnsi="Times New Roman" w:cs="Times New Roman"/>
                <w:sz w:val="16"/>
                <w:szCs w:val="16"/>
              </w:rPr>
              <w:t>[ISI: URL tabel 185 produk 2020 dari halaman unduhan BPS]</w:t>
            </w:r>
          </w:p>
        </w:tc>
        <w:tc>
          <w:tcPr>
            <w:tcW w:w="856" w:type="dxa"/>
            <w:tcBorders>
              <w:top w:val="single" w:sz="4" w:space="0" w:color="000000"/>
              <w:left w:val="single" w:sz="4" w:space="0" w:color="000000"/>
              <w:bottom w:val="single" w:sz="4" w:space="0" w:color="000000"/>
              <w:right w:val="single" w:sz="4" w:space="0" w:color="000000"/>
            </w:tcBorders>
          </w:tcPr>
          <w:p w14:paraId="2AC03E64" w14:textId="77777777" w:rsidR="003A149E" w:rsidRDefault="00000000">
            <w:pPr>
              <w:spacing w:line="256" w:lineRule="auto"/>
            </w:pPr>
            <w:r>
              <w:rPr>
                <w:rFonts w:ascii="Times New Roman" w:eastAsia="Times New Roman" w:hAnsi="Times New Roman" w:cs="Times New Roman"/>
                <w:sz w:val="16"/>
                <w:szCs w:val="16"/>
              </w:rPr>
              <w:t>[ISI]</w:t>
            </w:r>
          </w:p>
        </w:tc>
      </w:tr>
      <w:tr w:rsidR="003A149E" w14:paraId="14EBBA48" w14:textId="77777777">
        <w:trPr>
          <w:cantSplit/>
        </w:trPr>
        <w:tc>
          <w:tcPr>
            <w:tcW w:w="1250" w:type="dxa"/>
            <w:tcBorders>
              <w:top w:val="single" w:sz="4" w:space="0" w:color="000000"/>
              <w:left w:val="single" w:sz="4" w:space="0" w:color="000000"/>
              <w:bottom w:val="single" w:sz="4" w:space="0" w:color="000000"/>
              <w:right w:val="single" w:sz="4" w:space="0" w:color="000000"/>
            </w:tcBorders>
          </w:tcPr>
          <w:p w14:paraId="544F0A73" w14:textId="77777777" w:rsidR="003A149E" w:rsidRDefault="00000000">
            <w:pPr>
              <w:spacing w:line="256" w:lineRule="auto"/>
            </w:pPr>
            <w:r>
              <w:rPr>
                <w:rFonts w:ascii="Times New Roman" w:eastAsia="Times New Roman" w:hAnsi="Times New Roman" w:cs="Times New Roman"/>
                <w:sz w:val="16"/>
                <w:szCs w:val="16"/>
              </w:rPr>
              <w:t>Tabel Input-Output Indonesia 2020 (publikasi)</w:t>
            </w:r>
          </w:p>
        </w:tc>
        <w:tc>
          <w:tcPr>
            <w:tcW w:w="700" w:type="dxa"/>
            <w:tcBorders>
              <w:top w:val="single" w:sz="4" w:space="0" w:color="000000"/>
              <w:left w:val="single" w:sz="4" w:space="0" w:color="000000"/>
              <w:bottom w:val="single" w:sz="4" w:space="0" w:color="000000"/>
              <w:right w:val="single" w:sz="4" w:space="0" w:color="000000"/>
            </w:tcBorders>
          </w:tcPr>
          <w:p w14:paraId="7750CC98" w14:textId="77777777" w:rsidR="003A149E" w:rsidRDefault="00000000">
            <w:pPr>
              <w:spacing w:line="256" w:lineRule="auto"/>
            </w:pPr>
            <w:r>
              <w:rPr>
                <w:rFonts w:ascii="Times New Roman" w:eastAsia="Times New Roman" w:hAnsi="Times New Roman" w:cs="Times New Roman"/>
                <w:sz w:val="16"/>
                <w:szCs w:val="16"/>
              </w:rPr>
              <w:t>2020</w:t>
            </w:r>
          </w:p>
        </w:tc>
        <w:tc>
          <w:tcPr>
            <w:tcW w:w="2100" w:type="dxa"/>
            <w:tcBorders>
              <w:top w:val="single" w:sz="4" w:space="0" w:color="000000"/>
              <w:left w:val="single" w:sz="4" w:space="0" w:color="000000"/>
              <w:bottom w:val="single" w:sz="4" w:space="0" w:color="000000"/>
              <w:right w:val="single" w:sz="4" w:space="0" w:color="000000"/>
            </w:tcBorders>
          </w:tcPr>
          <w:p w14:paraId="71C5D5DB" w14:textId="77777777" w:rsidR="003A149E" w:rsidRDefault="00000000">
            <w:pPr>
              <w:spacing w:line="256" w:lineRule="auto"/>
            </w:pPr>
            <w:r>
              <w:rPr>
                <w:rFonts w:ascii="Times New Roman" w:eastAsia="Times New Roman" w:hAnsi="Times New Roman" w:cs="Times New Roman"/>
                <w:sz w:val="16"/>
                <w:szCs w:val="16"/>
              </w:rPr>
              <w:t>https://www.bps.go.id/id/publication/2025/01/27/ea74e60a8662a70a734fa431/input-output-tables-indonesia-2020.html</w:t>
            </w:r>
          </w:p>
        </w:tc>
        <w:tc>
          <w:tcPr>
            <w:tcW w:w="856" w:type="dxa"/>
            <w:tcBorders>
              <w:top w:val="single" w:sz="4" w:space="0" w:color="000000"/>
              <w:left w:val="single" w:sz="4" w:space="0" w:color="000000"/>
              <w:bottom w:val="single" w:sz="4" w:space="0" w:color="000000"/>
              <w:right w:val="single" w:sz="4" w:space="0" w:color="000000"/>
            </w:tcBorders>
          </w:tcPr>
          <w:p w14:paraId="4DAA2F77" w14:textId="77777777" w:rsidR="003A149E" w:rsidRDefault="00000000">
            <w:pPr>
              <w:spacing w:line="256" w:lineRule="auto"/>
            </w:pPr>
            <w:r>
              <w:rPr>
                <w:rFonts w:ascii="Times New Roman" w:eastAsia="Times New Roman" w:hAnsi="Times New Roman" w:cs="Times New Roman"/>
                <w:sz w:val="16"/>
                <w:szCs w:val="16"/>
              </w:rPr>
              <w:t>[ISI]</w:t>
            </w:r>
          </w:p>
        </w:tc>
      </w:tr>
      <w:tr w:rsidR="003A149E" w14:paraId="6ED4A965" w14:textId="77777777">
        <w:trPr>
          <w:cantSplit/>
        </w:trPr>
        <w:tc>
          <w:tcPr>
            <w:tcW w:w="1250" w:type="dxa"/>
            <w:tcBorders>
              <w:top w:val="single" w:sz="4" w:space="0" w:color="000000"/>
              <w:left w:val="single" w:sz="4" w:space="0" w:color="000000"/>
              <w:bottom w:val="single" w:sz="4" w:space="0" w:color="000000"/>
              <w:right w:val="single" w:sz="4" w:space="0" w:color="000000"/>
            </w:tcBorders>
          </w:tcPr>
          <w:p w14:paraId="32560BA9" w14:textId="77777777" w:rsidR="003A149E" w:rsidRDefault="00000000">
            <w:pPr>
              <w:spacing w:line="256" w:lineRule="auto"/>
            </w:pPr>
            <w:r>
              <w:rPr>
                <w:rFonts w:ascii="Times New Roman" w:eastAsia="Times New Roman" w:hAnsi="Times New Roman" w:cs="Times New Roman"/>
                <w:sz w:val="16"/>
                <w:szCs w:val="16"/>
              </w:rPr>
              <w:t>Tabel Input-Output Indonesia Transaksi Domestik Atas Dasar Harga Dasar (17 Produk)</w:t>
            </w:r>
          </w:p>
        </w:tc>
        <w:tc>
          <w:tcPr>
            <w:tcW w:w="700" w:type="dxa"/>
            <w:tcBorders>
              <w:top w:val="single" w:sz="4" w:space="0" w:color="000000"/>
              <w:left w:val="single" w:sz="4" w:space="0" w:color="000000"/>
              <w:bottom w:val="single" w:sz="4" w:space="0" w:color="000000"/>
              <w:right w:val="single" w:sz="4" w:space="0" w:color="000000"/>
            </w:tcBorders>
          </w:tcPr>
          <w:p w14:paraId="2A0A3261" w14:textId="77777777" w:rsidR="003A149E" w:rsidRDefault="00000000">
            <w:pPr>
              <w:spacing w:line="256" w:lineRule="auto"/>
            </w:pPr>
            <w:r>
              <w:rPr>
                <w:rFonts w:ascii="Times New Roman" w:eastAsia="Times New Roman" w:hAnsi="Times New Roman" w:cs="Times New Roman"/>
                <w:sz w:val="16"/>
                <w:szCs w:val="16"/>
              </w:rPr>
              <w:t>2020</w:t>
            </w:r>
          </w:p>
        </w:tc>
        <w:tc>
          <w:tcPr>
            <w:tcW w:w="2100" w:type="dxa"/>
            <w:tcBorders>
              <w:top w:val="single" w:sz="4" w:space="0" w:color="000000"/>
              <w:left w:val="single" w:sz="4" w:space="0" w:color="000000"/>
              <w:bottom w:val="single" w:sz="4" w:space="0" w:color="000000"/>
              <w:right w:val="single" w:sz="4" w:space="0" w:color="000000"/>
            </w:tcBorders>
          </w:tcPr>
          <w:p w14:paraId="643B80DD" w14:textId="77777777" w:rsidR="003A149E" w:rsidRDefault="00000000">
            <w:pPr>
              <w:spacing w:line="256" w:lineRule="auto"/>
            </w:pPr>
            <w:r>
              <w:rPr>
                <w:rFonts w:ascii="Times New Roman" w:eastAsia="Times New Roman" w:hAnsi="Times New Roman" w:cs="Times New Roman"/>
                <w:sz w:val="16"/>
                <w:szCs w:val="16"/>
              </w:rPr>
              <w:t>https://www.bps.go.id/en/statistics-table/1/MjI2OSMx/tabel-input-output-indonesia-transaksi-domestik-atas-dasar-harga-dasar--17-produk---2020--juta-rupiah-.html</w:t>
            </w:r>
          </w:p>
        </w:tc>
        <w:tc>
          <w:tcPr>
            <w:tcW w:w="856" w:type="dxa"/>
            <w:tcBorders>
              <w:top w:val="single" w:sz="4" w:space="0" w:color="000000"/>
              <w:left w:val="single" w:sz="4" w:space="0" w:color="000000"/>
              <w:bottom w:val="single" w:sz="4" w:space="0" w:color="000000"/>
              <w:right w:val="single" w:sz="4" w:space="0" w:color="000000"/>
            </w:tcBorders>
          </w:tcPr>
          <w:p w14:paraId="59CB7F04" w14:textId="77777777" w:rsidR="003A149E" w:rsidRDefault="00000000">
            <w:pPr>
              <w:spacing w:line="256" w:lineRule="auto"/>
            </w:pPr>
            <w:r>
              <w:rPr>
                <w:rFonts w:ascii="Times New Roman" w:eastAsia="Times New Roman" w:hAnsi="Times New Roman" w:cs="Times New Roman"/>
                <w:sz w:val="16"/>
                <w:szCs w:val="16"/>
              </w:rPr>
              <w:t>[ISI]</w:t>
            </w:r>
          </w:p>
        </w:tc>
      </w:tr>
    </w:tbl>
    <w:p w14:paraId="6F738BF0" w14:textId="77777777" w:rsidR="003A149E" w:rsidRDefault="003A149E">
      <w:pPr>
        <w:pBdr>
          <w:top w:val="nil"/>
          <w:left w:val="nil"/>
          <w:bottom w:val="nil"/>
          <w:right w:val="nil"/>
          <w:between w:val="nil"/>
        </w:pBdr>
        <w:ind w:firstLine="216"/>
        <w:jc w:val="both"/>
        <w:rPr>
          <w:sz w:val="20"/>
          <w:szCs w:val="20"/>
        </w:rPr>
      </w:pPr>
    </w:p>
    <w:p w14:paraId="3ECC66F4" w14:textId="77777777" w:rsidR="003A149E" w:rsidRDefault="00000000">
      <w:pPr>
        <w:pBdr>
          <w:top w:val="nil"/>
          <w:left w:val="nil"/>
          <w:bottom w:val="nil"/>
          <w:right w:val="nil"/>
          <w:between w:val="nil"/>
        </w:pBdr>
        <w:ind w:firstLine="216"/>
        <w:jc w:val="both"/>
        <w:rPr>
          <w:sz w:val="20"/>
          <w:szCs w:val="20"/>
        </w:rPr>
      </w:pPr>
      <w:r>
        <w:rPr>
          <w:sz w:val="20"/>
          <w:szCs w:val="20"/>
        </w:rPr>
        <w:t>Pemetaan 185 produk ke 17 kategori lapangan usaha disusun penulis berdasarkan urutan kode produk, lalu divalidasi dengan membandingkan jumlah Output Domestik Harga Dasar tiap kategori terhadap tabel 17 produk; hasilnya sama untuk seluruh 17 kategori. Kelompok primer–sekunder–tersier adalah pengelompokan penulis (primer: kategori 1–2; sekunder: 3–6; tersier: 7–17). Seluruh visualisasi mencantumkan “Sumber: BPS”.</w:t>
      </w:r>
    </w:p>
    <w:p w14:paraId="429686B7" w14:textId="77777777" w:rsidR="003A149E" w:rsidRDefault="00000000">
      <w:pPr>
        <w:spacing w:after="38" w:line="256" w:lineRule="auto"/>
        <w:ind w:left="10" w:hanging="10"/>
        <w:jc w:val="both"/>
        <w:rPr>
          <w:color w:val="000000"/>
          <w:sz w:val="20"/>
          <w:szCs w:val="20"/>
        </w:rPr>
      </w:pPr>
      <w:r>
        <w:rPr>
          <w:i/>
          <w:iCs/>
          <w:sz w:val="20"/>
          <w:szCs w:val="20"/>
        </w:rPr>
        <w:t>B. Pra-pemrosesan</w:t>
      </w:r>
    </w:p>
    <w:p w14:paraId="23BAFFC9" w14:textId="77777777" w:rsidR="003A149E" w:rsidRDefault="00000000">
      <w:pPr>
        <w:pBdr>
          <w:top w:val="nil"/>
          <w:left w:val="nil"/>
          <w:bottom w:val="nil"/>
          <w:right w:val="nil"/>
          <w:between w:val="nil"/>
        </w:pBdr>
        <w:ind w:firstLine="216"/>
        <w:jc w:val="both"/>
        <w:rPr>
          <w:sz w:val="20"/>
          <w:szCs w:val="20"/>
        </w:rPr>
      </w:pPr>
      <w:r>
        <w:rPr>
          <w:sz w:val="20"/>
          <w:szCs w:val="20"/>
        </w:rPr>
        <w:t>Pra-pemrosesan dilakukan dengan skrip Python (olah_io.py) melalui langkah berikut. Seluruh nilai transaksi berada dalam juta rupiah.</w:t>
      </w:r>
    </w:p>
    <w:p w14:paraId="57F38BAC"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Unduh tabel transaksi 185 × 185 dan baca dengan pandas; pisahkan matriks transaksi antara Z dari kolom permintaan akhir, nilai tambah, dan total input x.</w:t>
      </w:r>
    </w:p>
    <w:p w14:paraId="35423487"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Bersihkan label produk, periksa kesesuaian total baris dan kolom, dan dokumentasikan sel kosong atau nol.</w:t>
      </w:r>
    </w:p>
    <w:p w14:paraId="47E6003A"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Hitung matriks koefisien input A dan invers Leontief L (persamaan di bawah).</w:t>
      </w:r>
    </w:p>
    <w:p w14:paraId="5DA37B19"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Hitung indeks keterkaitan ke belakang (BL) dan ke depan (FL) [7], [8].</w:t>
      </w:r>
    </w:p>
    <w:p w14:paraId="63B6599A"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Bangun graf berarah berbobot dengan 185 node dan edge i → j bernilai z_ij (transaksi diagonal z_ii dikeluarkan); simpan juga persentil bobot edge untuk filter ambang.</w:t>
      </w:r>
    </w:p>
    <w:p w14:paraId="65985BE2"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Hitung degree berbobot (masuk/keluar), betweenness (jarak = 1/bobot), dan komunitas Louvain pada graf tak berarah dengan benih acak tetap [11], [12].</w:t>
      </w:r>
    </w:p>
    <w:p w14:paraId="2109DF5F"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Petakan produk ke 17 kategori dan kelompok sektor, lalu agregasikan aliran menjadi matriks 17 × 17 untuk Sankey dan chord; validasi pemetaan terhadap tabel 17 produk.</w:t>
      </w:r>
    </w:p>
    <w:p w14:paraId="12CAF311"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Ekspor hasil ke JSON/CSV dan simpan skrip di repositori agar dapat direproduksi.</w:t>
      </w:r>
    </w:p>
    <w:p w14:paraId="0EDB8575" w14:textId="77777777" w:rsidR="003A149E" w:rsidRDefault="00000000">
      <w:pPr>
        <w:pBdr>
          <w:top w:val="nil"/>
          <w:left w:val="nil"/>
          <w:bottom w:val="nil"/>
          <w:right w:val="nil"/>
          <w:between w:val="nil"/>
        </w:pBdr>
        <w:ind w:firstLine="216"/>
        <w:jc w:val="both"/>
        <w:rPr>
          <w:sz w:val="20"/>
          <w:szCs w:val="20"/>
        </w:rPr>
      </w:pPr>
      <w:r>
        <w:rPr>
          <w:sz w:val="20"/>
          <w:szCs w:val="20"/>
        </w:rPr>
        <w:t>Matriks koefisien input dan invers Leontief dinyatakan oleh (1) dan (2), sedangkan indeks keterkaitan ke belakang dan ke depan oleh (3) dan (4), dengan z_ij transaksi antara dari sektor i ke sektor j, x_j total input sektor j, l_ij elemen matriks L, dan n = 185.</w:t>
      </w:r>
    </w:p>
    <w:p w14:paraId="169B8869" w14:textId="77777777" w:rsidR="003A149E" w:rsidRDefault="00000000">
      <w:pPr>
        <w:tabs>
          <w:tab w:val="center" w:pos="2511"/>
          <w:tab w:val="right" w:pos="5023"/>
        </w:tabs>
        <w:spacing w:before="60" w:after="60"/>
        <w:rPr>
          <w:sz w:val="20"/>
        </w:rPr>
      </w:pPr>
      <w:r>
        <w:tab/>
      </w:r>
      <m:oMath>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ij</m:t>
            </m:r>
          </m:sub>
        </m:sSub>
        <m: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z</m:t>
                </m:r>
              </m:e>
              <m:sub>
                <m:r>
                  <w:rPr>
                    <w:rFonts w:ascii="Cambria Math" w:hAnsi="Cambria Math"/>
                    <w:sz w:val="20"/>
                    <w:szCs w:val="20"/>
                  </w:rPr>
                  <m:t>ij</m:t>
                </m:r>
              </m:sub>
            </m:sSub>
          </m:num>
          <m:den>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j</m:t>
                </m:r>
              </m:sub>
            </m:sSub>
          </m:den>
        </m:f>
      </m:oMath>
      <w:r>
        <w:rPr>
          <w:sz w:val="20"/>
          <w:szCs w:val="20"/>
        </w:rPr>
        <w:tab/>
        <w:t>(1)</w:t>
      </w:r>
    </w:p>
    <w:p w14:paraId="67CCF2BE" w14:textId="77777777" w:rsidR="003A149E" w:rsidRDefault="00000000">
      <w:pPr>
        <w:tabs>
          <w:tab w:val="center" w:pos="2511"/>
          <w:tab w:val="right" w:pos="5023"/>
        </w:tabs>
        <w:spacing w:before="60" w:after="60"/>
        <w:rPr>
          <w:sz w:val="20"/>
        </w:rPr>
      </w:pPr>
      <w:r>
        <w:tab/>
      </w:r>
      <m:oMath>
        <m:r>
          <w:rPr>
            <w:rFonts w:ascii="Cambria Math" w:hAnsi="Cambria Math"/>
            <w:sz w:val="20"/>
            <w:szCs w:val="20"/>
          </w:rPr>
          <m:t>L=</m:t>
        </m:r>
        <m:sSup>
          <m:sSupPr>
            <m:ctrlPr>
              <w:rPr>
                <w:rFonts w:ascii="Cambria Math" w:hAnsi="Cambria Math"/>
              </w:rPr>
            </m:ctrlPr>
          </m:sSupPr>
          <m:e>
            <m:d>
              <m:dPr>
                <m:ctrlPr>
                  <w:rPr>
                    <w:rFonts w:ascii="Cambria Math" w:hAnsi="Cambria Math"/>
                  </w:rPr>
                </m:ctrlPr>
              </m:dPr>
              <m:e>
                <m:r>
                  <w:rPr>
                    <w:rFonts w:ascii="Cambria Math" w:hAnsi="Cambria Math"/>
                    <w:sz w:val="20"/>
                    <w:szCs w:val="20"/>
                  </w:rPr>
                  <m:t>I-A</m:t>
                </m:r>
              </m:e>
            </m:d>
          </m:e>
          <m:sup>
            <m:r>
              <w:rPr>
                <w:rFonts w:ascii="Cambria Math" w:hAnsi="Cambria Math"/>
                <w:sz w:val="20"/>
                <w:szCs w:val="20"/>
              </w:rPr>
              <m:t>-1</m:t>
            </m:r>
          </m:sup>
        </m:sSup>
      </m:oMath>
      <w:r>
        <w:rPr>
          <w:sz w:val="20"/>
          <w:szCs w:val="20"/>
        </w:rPr>
        <w:tab/>
        <w:t>(2)</w:t>
      </w:r>
    </w:p>
    <w:p w14:paraId="3C89519E" w14:textId="77777777" w:rsidR="003A149E" w:rsidRDefault="00000000">
      <w:pPr>
        <w:tabs>
          <w:tab w:val="center" w:pos="2511"/>
          <w:tab w:val="right" w:pos="5023"/>
        </w:tabs>
        <w:spacing w:before="60" w:after="60"/>
        <w:rPr>
          <w:sz w:val="20"/>
        </w:rPr>
      </w:pPr>
      <w:r>
        <w:tab/>
      </w:r>
      <m:oMath>
        <m:sSub>
          <m:sSubPr>
            <m:ctrlPr>
              <w:rPr>
                <w:rFonts w:ascii="Cambria Math" w:hAnsi="Cambria Math"/>
              </w:rPr>
            </m:ctrlPr>
          </m:sSubPr>
          <m:e>
            <m:r>
              <w:rPr>
                <w:rFonts w:ascii="Cambria Math" w:hAnsi="Cambria Math"/>
                <w:sz w:val="20"/>
                <w:szCs w:val="20"/>
              </w:rPr>
              <m:t>BL</m:t>
            </m:r>
          </m:e>
          <m:sub>
            <m:r>
              <w:rPr>
                <w:rFonts w:ascii="Cambria Math" w:hAnsi="Cambria Math"/>
                <w:sz w:val="20"/>
                <w:szCs w:val="20"/>
              </w:rPr>
              <m:t>j</m:t>
            </m:r>
          </m:sub>
        </m:sSub>
        <m:r>
          <w:rPr>
            <w:rFonts w:ascii="Cambria Math" w:hAnsi="Cambria Math"/>
            <w:sz w:val="20"/>
            <w:szCs w:val="20"/>
          </w:rPr>
          <m:t>=</m:t>
        </m:r>
        <m:f>
          <m:fPr>
            <m:ctrlPr>
              <w:rPr>
                <w:rFonts w:ascii="Cambria Math" w:hAnsi="Cambria Math"/>
              </w:rPr>
            </m:ctrlPr>
          </m:fPr>
          <m:num>
            <m:f>
              <m:fPr>
                <m:ctrlPr>
                  <w:rPr>
                    <w:rFonts w:ascii="Cambria Math" w:hAnsi="Cambria Math"/>
                  </w:rPr>
                </m:ctrlPr>
              </m:fPr>
              <m:num>
                <m:r>
                  <w:rPr>
                    <w:rFonts w:ascii="Cambria Math" w:hAnsi="Cambria Math"/>
                    <w:sz w:val="20"/>
                    <w:szCs w:val="20"/>
                  </w:rPr>
                  <m:t>1</m:t>
                </m:r>
              </m:num>
              <m:den>
                <m:r>
                  <w:rPr>
                    <w:rFonts w:ascii="Cambria Math" w:hAnsi="Cambria Math"/>
                    <w:sz w:val="20"/>
                    <w:szCs w:val="20"/>
                  </w:rPr>
                  <m:t>n</m:t>
                </m:r>
              </m:den>
            </m:f>
            <m:nary>
              <m:naryPr>
                <m:chr m:val="∑"/>
                <m:limLoc m:val="undOvr"/>
                <m:supHide m:val="1"/>
                <m:ctrlPr>
                  <w:rPr>
                    <w:rFonts w:ascii="Cambria Math" w:hAnsi="Cambria Math"/>
                  </w:rPr>
                </m:ctrlPr>
              </m:naryPr>
              <m:sub>
                <m:r>
                  <w:rPr>
                    <w:rFonts w:ascii="Cambria Math" w:hAnsi="Cambria Math"/>
                    <w:sz w:val="20"/>
                    <w:szCs w:val="20"/>
                  </w:rPr>
                  <m:t>i</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num>
          <m:den>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n</m:t>
                    </m:r>
                  </m:e>
                  <m:sup>
                    <m:r>
                      <w:rPr>
                        <w:rFonts w:ascii="Cambria Math" w:hAnsi="Cambria Math"/>
                        <w:sz w:val="20"/>
                        <w:szCs w:val="20"/>
                      </w:rPr>
                      <m:t>2</m:t>
                    </m:r>
                  </m:sup>
                </m:sSup>
              </m:den>
            </m:f>
            <m:nary>
              <m:naryPr>
                <m:chr m:val="∑"/>
                <m:limLoc m:val="undOvr"/>
                <m:supHide m:val="1"/>
                <m:ctrlPr>
                  <w:rPr>
                    <w:rFonts w:ascii="Cambria Math" w:hAnsi="Cambria Math"/>
                  </w:rPr>
                </m:ctrlPr>
              </m:naryPr>
              <m:sub>
                <m:r>
                  <w:rPr>
                    <w:rFonts w:ascii="Cambria Math" w:hAnsi="Cambria Math"/>
                    <w:sz w:val="20"/>
                    <w:szCs w:val="20"/>
                  </w:rPr>
                  <m:t>i</m:t>
                </m:r>
              </m:sub>
              <m:sup/>
              <m:e>
                <m:nary>
                  <m:naryPr>
                    <m:chr m:val="∑"/>
                    <m:limLoc m:val="undOvr"/>
                    <m:supHide m:val="1"/>
                    <m:ctrlPr>
                      <w:rPr>
                        <w:rFonts w:ascii="Cambria Math" w:hAnsi="Cambria Math"/>
                      </w:rPr>
                    </m:ctrlPr>
                  </m:naryPr>
                  <m:sub>
                    <m:r>
                      <w:rPr>
                        <w:rFonts w:ascii="Cambria Math" w:hAnsi="Cambria Math"/>
                        <w:sz w:val="20"/>
                        <w:szCs w:val="20"/>
                      </w:rPr>
                      <m:t>j</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e>
            </m:nary>
          </m:den>
        </m:f>
      </m:oMath>
      <w:r>
        <w:rPr>
          <w:sz w:val="20"/>
          <w:szCs w:val="20"/>
        </w:rPr>
        <w:tab/>
        <w:t>(3)</w:t>
      </w:r>
    </w:p>
    <w:p w14:paraId="7B0CF821" w14:textId="77777777" w:rsidR="003A149E" w:rsidRDefault="00000000">
      <w:pPr>
        <w:tabs>
          <w:tab w:val="center" w:pos="2511"/>
          <w:tab w:val="right" w:pos="5023"/>
        </w:tabs>
        <w:spacing w:before="60" w:after="60"/>
        <w:rPr>
          <w:sz w:val="20"/>
        </w:rPr>
      </w:pPr>
      <w:r>
        <w:tab/>
      </w:r>
      <m:oMath>
        <m:sSub>
          <m:sSubPr>
            <m:ctrlPr>
              <w:rPr>
                <w:rFonts w:ascii="Cambria Math" w:hAnsi="Cambria Math"/>
              </w:rPr>
            </m:ctrlPr>
          </m:sSubPr>
          <m:e>
            <m:r>
              <w:rPr>
                <w:rFonts w:ascii="Cambria Math" w:hAnsi="Cambria Math"/>
                <w:sz w:val="20"/>
                <w:szCs w:val="20"/>
              </w:rPr>
              <m:t>FL</m:t>
            </m:r>
          </m:e>
          <m:sub>
            <m:r>
              <w:rPr>
                <w:rFonts w:ascii="Cambria Math" w:hAnsi="Cambria Math"/>
                <w:sz w:val="20"/>
                <w:szCs w:val="20"/>
              </w:rPr>
              <m:t>i</m:t>
            </m:r>
          </m:sub>
        </m:sSub>
        <m:r>
          <w:rPr>
            <w:rFonts w:ascii="Cambria Math" w:hAnsi="Cambria Math"/>
            <w:sz w:val="20"/>
            <w:szCs w:val="20"/>
          </w:rPr>
          <m:t>=</m:t>
        </m:r>
        <m:f>
          <m:fPr>
            <m:ctrlPr>
              <w:rPr>
                <w:rFonts w:ascii="Cambria Math" w:hAnsi="Cambria Math"/>
              </w:rPr>
            </m:ctrlPr>
          </m:fPr>
          <m:num>
            <m:f>
              <m:fPr>
                <m:ctrlPr>
                  <w:rPr>
                    <w:rFonts w:ascii="Cambria Math" w:hAnsi="Cambria Math"/>
                  </w:rPr>
                </m:ctrlPr>
              </m:fPr>
              <m:num>
                <m:r>
                  <w:rPr>
                    <w:rFonts w:ascii="Cambria Math" w:hAnsi="Cambria Math"/>
                    <w:sz w:val="20"/>
                    <w:szCs w:val="20"/>
                  </w:rPr>
                  <m:t>1</m:t>
                </m:r>
              </m:num>
              <m:den>
                <m:r>
                  <w:rPr>
                    <w:rFonts w:ascii="Cambria Math" w:hAnsi="Cambria Math"/>
                    <w:sz w:val="20"/>
                    <w:szCs w:val="20"/>
                  </w:rPr>
                  <m:t>n</m:t>
                </m:r>
              </m:den>
            </m:f>
            <m:nary>
              <m:naryPr>
                <m:chr m:val="∑"/>
                <m:limLoc m:val="undOvr"/>
                <m:supHide m:val="1"/>
                <m:ctrlPr>
                  <w:rPr>
                    <w:rFonts w:ascii="Cambria Math" w:hAnsi="Cambria Math"/>
                  </w:rPr>
                </m:ctrlPr>
              </m:naryPr>
              <m:sub>
                <m:r>
                  <w:rPr>
                    <w:rFonts w:ascii="Cambria Math" w:hAnsi="Cambria Math"/>
                    <w:sz w:val="20"/>
                    <w:szCs w:val="20"/>
                  </w:rPr>
                  <m:t>j</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num>
          <m:den>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n</m:t>
                    </m:r>
                  </m:e>
                  <m:sup>
                    <m:r>
                      <w:rPr>
                        <w:rFonts w:ascii="Cambria Math" w:hAnsi="Cambria Math"/>
                        <w:sz w:val="20"/>
                        <w:szCs w:val="20"/>
                      </w:rPr>
                      <m:t>2</m:t>
                    </m:r>
                  </m:sup>
                </m:sSup>
              </m:den>
            </m:f>
            <m:nary>
              <m:naryPr>
                <m:chr m:val="∑"/>
                <m:limLoc m:val="undOvr"/>
                <m:supHide m:val="1"/>
                <m:ctrlPr>
                  <w:rPr>
                    <w:rFonts w:ascii="Cambria Math" w:hAnsi="Cambria Math"/>
                  </w:rPr>
                </m:ctrlPr>
              </m:naryPr>
              <m:sub>
                <m:r>
                  <w:rPr>
                    <w:rFonts w:ascii="Cambria Math" w:hAnsi="Cambria Math"/>
                    <w:sz w:val="20"/>
                    <w:szCs w:val="20"/>
                  </w:rPr>
                  <m:t>i</m:t>
                </m:r>
              </m:sub>
              <m:sup/>
              <m:e>
                <m:nary>
                  <m:naryPr>
                    <m:chr m:val="∑"/>
                    <m:limLoc m:val="undOvr"/>
                    <m:supHide m:val="1"/>
                    <m:ctrlPr>
                      <w:rPr>
                        <w:rFonts w:ascii="Cambria Math" w:hAnsi="Cambria Math"/>
                      </w:rPr>
                    </m:ctrlPr>
                  </m:naryPr>
                  <m:sub>
                    <m:r>
                      <w:rPr>
                        <w:rFonts w:ascii="Cambria Math" w:hAnsi="Cambria Math"/>
                        <w:sz w:val="20"/>
                        <w:szCs w:val="20"/>
                      </w:rPr>
                      <m:t>j</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e>
            </m:nary>
          </m:den>
        </m:f>
      </m:oMath>
      <w:r>
        <w:rPr>
          <w:sz w:val="20"/>
          <w:szCs w:val="20"/>
        </w:rPr>
        <w:tab/>
        <w:t>(4)</w:t>
      </w:r>
    </w:p>
    <w:p w14:paraId="3B98131C" w14:textId="77777777" w:rsidR="003A149E" w:rsidRDefault="00000000">
      <w:pPr>
        <w:spacing w:after="38" w:line="256" w:lineRule="auto"/>
        <w:ind w:left="10" w:hanging="10"/>
        <w:jc w:val="both"/>
        <w:rPr>
          <w:color w:val="000000"/>
          <w:sz w:val="20"/>
          <w:szCs w:val="20"/>
        </w:rPr>
      </w:pPr>
      <w:r>
        <w:rPr>
          <w:i/>
          <w:iCs/>
          <w:sz w:val="20"/>
          <w:szCs w:val="20"/>
        </w:rPr>
        <w:t>C. Rancangan visualisasi</w:t>
      </w:r>
    </w:p>
    <w:p w14:paraId="5421DC3B" w14:textId="77777777" w:rsidR="003A149E" w:rsidRDefault="00000000">
      <w:pPr>
        <w:pBdr>
          <w:top w:val="nil"/>
          <w:left w:val="nil"/>
          <w:bottom w:val="nil"/>
          <w:right w:val="nil"/>
          <w:between w:val="nil"/>
        </w:pBdr>
        <w:ind w:firstLine="216"/>
        <w:jc w:val="both"/>
        <w:rPr>
          <w:sz w:val="20"/>
          <w:szCs w:val="20"/>
        </w:rPr>
      </w:pPr>
      <w:r>
        <w:rPr>
          <w:sz w:val="20"/>
          <w:szCs w:val="20"/>
        </w:rPr>
        <w:t>Tabel II merangkum rancangan visualisasi untuk tiap topik.</w:t>
      </w:r>
    </w:p>
    <w:p w14:paraId="320AB314" w14:textId="77777777" w:rsidR="003A149E" w:rsidRDefault="00000000">
      <w:pPr>
        <w:keepNext/>
        <w:keepLines/>
        <w:spacing w:line="256" w:lineRule="auto"/>
        <w:ind w:left="10"/>
        <w:jc w:val="center"/>
        <w:rPr>
          <w:color w:val="000000"/>
          <w:sz w:val="16"/>
          <w:szCs w:val="16"/>
        </w:rPr>
      </w:pPr>
      <w:r>
        <w:rPr>
          <w:color w:val="000000"/>
          <w:sz w:val="16"/>
          <w:szCs w:val="16"/>
        </w:rPr>
        <w:t>TABEL II</w:t>
      </w:r>
    </w:p>
    <w:p w14:paraId="5F84D277" w14:textId="77777777" w:rsidR="003A149E" w:rsidRDefault="00000000">
      <w:pPr>
        <w:keepNext/>
        <w:spacing w:line="257" w:lineRule="auto"/>
        <w:jc w:val="center"/>
        <w:rPr>
          <w:color w:val="000000"/>
          <w:sz w:val="20"/>
          <w:szCs w:val="20"/>
        </w:rPr>
      </w:pPr>
      <w:r>
        <w:rPr>
          <w:color w:val="000000"/>
          <w:sz w:val="16"/>
          <w:szCs w:val="16"/>
        </w:rPr>
        <w:t>RANCANGAN VISUALISASI</w:t>
      </w:r>
    </w:p>
    <w:tbl>
      <w:tblPr>
        <w:tblStyle w:val="a"/>
        <w:tblW w:w="4906" w:type="dxa"/>
        <w:tblInd w:w="107" w:type="dxa"/>
        <w:tblLayout w:type="fixed"/>
        <w:tblLook w:val="0400" w:firstRow="0" w:lastRow="0" w:firstColumn="0" w:lastColumn="0" w:noHBand="0" w:noVBand="1"/>
      </w:tblPr>
      <w:tblGrid>
        <w:gridCol w:w="900"/>
        <w:gridCol w:w="1150"/>
        <w:gridCol w:w="1650"/>
        <w:gridCol w:w="1206"/>
      </w:tblGrid>
      <w:tr w:rsidR="003A149E" w14:paraId="1499B108"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Pr>
          <w:p w14:paraId="058B1506" w14:textId="77777777" w:rsidR="003A149E" w:rsidRDefault="00000000">
            <w:pPr>
              <w:spacing w:line="256" w:lineRule="auto"/>
            </w:pPr>
            <w:r>
              <w:rPr>
                <w:rFonts w:ascii="Times New Roman" w:eastAsia="Times New Roman" w:hAnsi="Times New Roman" w:cs="Times New Roman"/>
                <w:i/>
                <w:iCs/>
                <w:sz w:val="16"/>
                <w:szCs w:val="16"/>
              </w:rPr>
              <w:t>Topik</w:t>
            </w:r>
          </w:p>
        </w:tc>
        <w:tc>
          <w:tcPr>
            <w:tcW w:w="1150" w:type="dxa"/>
            <w:tcBorders>
              <w:top w:val="single" w:sz="4" w:space="0" w:color="000000"/>
              <w:left w:val="single" w:sz="4" w:space="0" w:color="000000"/>
              <w:bottom w:val="single" w:sz="4" w:space="0" w:color="000000"/>
              <w:right w:val="single" w:sz="4" w:space="0" w:color="000000"/>
            </w:tcBorders>
          </w:tcPr>
          <w:p w14:paraId="43B228F9" w14:textId="77777777" w:rsidR="003A149E" w:rsidRDefault="00000000">
            <w:pPr>
              <w:spacing w:line="256" w:lineRule="auto"/>
            </w:pPr>
            <w:r>
              <w:rPr>
                <w:rFonts w:ascii="Times New Roman" w:eastAsia="Times New Roman" w:hAnsi="Times New Roman" w:cs="Times New Roman"/>
                <w:i/>
                <w:iCs/>
                <w:sz w:val="16"/>
                <w:szCs w:val="16"/>
              </w:rPr>
              <w:t>Tampilan</w:t>
            </w:r>
          </w:p>
        </w:tc>
        <w:tc>
          <w:tcPr>
            <w:tcW w:w="1650" w:type="dxa"/>
            <w:tcBorders>
              <w:top w:val="single" w:sz="4" w:space="0" w:color="000000"/>
              <w:left w:val="single" w:sz="4" w:space="0" w:color="000000"/>
              <w:bottom w:val="single" w:sz="4" w:space="0" w:color="000000"/>
              <w:right w:val="single" w:sz="4" w:space="0" w:color="000000"/>
            </w:tcBorders>
          </w:tcPr>
          <w:p w14:paraId="24DAAF3A" w14:textId="77777777" w:rsidR="003A149E" w:rsidRDefault="00000000">
            <w:pPr>
              <w:spacing w:line="256" w:lineRule="auto"/>
            </w:pPr>
            <w:r>
              <w:rPr>
                <w:rFonts w:ascii="Times New Roman" w:eastAsia="Times New Roman" w:hAnsi="Times New Roman" w:cs="Times New Roman"/>
                <w:i/>
                <w:iCs/>
                <w:sz w:val="16"/>
                <w:szCs w:val="16"/>
              </w:rPr>
              <w:t>Encoding visual</w:t>
            </w:r>
          </w:p>
        </w:tc>
        <w:tc>
          <w:tcPr>
            <w:tcW w:w="1206" w:type="dxa"/>
            <w:tcBorders>
              <w:top w:val="single" w:sz="4" w:space="0" w:color="000000"/>
              <w:left w:val="single" w:sz="4" w:space="0" w:color="000000"/>
              <w:bottom w:val="single" w:sz="4" w:space="0" w:color="000000"/>
              <w:right w:val="single" w:sz="4" w:space="0" w:color="000000"/>
            </w:tcBorders>
          </w:tcPr>
          <w:p w14:paraId="74810495" w14:textId="77777777" w:rsidR="003A149E" w:rsidRDefault="00000000">
            <w:pPr>
              <w:spacing w:line="256" w:lineRule="auto"/>
            </w:pPr>
            <w:r>
              <w:rPr>
                <w:rFonts w:ascii="Times New Roman" w:eastAsia="Times New Roman" w:hAnsi="Times New Roman" w:cs="Times New Roman"/>
                <w:i/>
                <w:iCs/>
                <w:sz w:val="16"/>
                <w:szCs w:val="16"/>
              </w:rPr>
              <w:t>Interaksi</w:t>
            </w:r>
          </w:p>
        </w:tc>
      </w:tr>
      <w:tr w:rsidR="003A149E" w14:paraId="29638FCB" w14:textId="77777777">
        <w:trPr>
          <w:cantSplit/>
        </w:trPr>
        <w:tc>
          <w:tcPr>
            <w:tcW w:w="900" w:type="dxa"/>
            <w:tcBorders>
              <w:top w:val="single" w:sz="4" w:space="0" w:color="000000"/>
              <w:left w:val="single" w:sz="4" w:space="0" w:color="000000"/>
              <w:bottom w:val="single" w:sz="4" w:space="0" w:color="000000"/>
              <w:right w:val="single" w:sz="4" w:space="0" w:color="000000"/>
            </w:tcBorders>
          </w:tcPr>
          <w:p w14:paraId="67293EC5" w14:textId="77777777" w:rsidR="003A149E" w:rsidRDefault="00000000">
            <w:pPr>
              <w:spacing w:line="256" w:lineRule="auto"/>
            </w:pPr>
            <w:r>
              <w:rPr>
                <w:rFonts w:ascii="Times New Roman" w:eastAsia="Times New Roman" w:hAnsi="Times New Roman" w:cs="Times New Roman"/>
                <w:sz w:val="16"/>
                <w:szCs w:val="16"/>
              </w:rPr>
              <w:t>Data berjaring</w:t>
            </w:r>
          </w:p>
        </w:tc>
        <w:tc>
          <w:tcPr>
            <w:tcW w:w="1150" w:type="dxa"/>
            <w:tcBorders>
              <w:top w:val="single" w:sz="4" w:space="0" w:color="000000"/>
              <w:left w:val="single" w:sz="4" w:space="0" w:color="000000"/>
              <w:bottom w:val="single" w:sz="4" w:space="0" w:color="000000"/>
              <w:right w:val="single" w:sz="4" w:space="0" w:color="000000"/>
            </w:tcBorders>
          </w:tcPr>
          <w:p w14:paraId="3459F49E" w14:textId="77777777" w:rsidR="003A149E" w:rsidRDefault="00000000">
            <w:pPr>
              <w:spacing w:line="256" w:lineRule="auto"/>
            </w:pPr>
            <w:r>
              <w:rPr>
                <w:rFonts w:ascii="Times New Roman" w:eastAsia="Times New Roman" w:hAnsi="Times New Roman" w:cs="Times New Roman"/>
                <w:sz w:val="16"/>
                <w:szCs w:val="16"/>
              </w:rPr>
              <w:t>Graf node-link force-directed; matriks adjasensi terurut komunitas</w:t>
            </w:r>
          </w:p>
        </w:tc>
        <w:tc>
          <w:tcPr>
            <w:tcW w:w="1650" w:type="dxa"/>
            <w:tcBorders>
              <w:top w:val="single" w:sz="4" w:space="0" w:color="000000"/>
              <w:left w:val="single" w:sz="4" w:space="0" w:color="000000"/>
              <w:bottom w:val="single" w:sz="4" w:space="0" w:color="000000"/>
              <w:right w:val="single" w:sz="4" w:space="0" w:color="000000"/>
            </w:tcBorders>
          </w:tcPr>
          <w:p w14:paraId="7A0A1E32" w14:textId="77777777" w:rsidR="003A149E" w:rsidRDefault="00000000">
            <w:pPr>
              <w:spacing w:line="256" w:lineRule="auto"/>
            </w:pPr>
            <w:r>
              <w:rPr>
                <w:rFonts w:ascii="Times New Roman" w:eastAsia="Times New Roman" w:hAnsi="Times New Roman" w:cs="Times New Roman"/>
                <w:sz w:val="16"/>
                <w:szCs w:val="16"/>
              </w:rPr>
              <w:t>Ukuran node = sentralitas; warna = komunitas; ketebalan edge = nilai transaksi</w:t>
            </w:r>
          </w:p>
        </w:tc>
        <w:tc>
          <w:tcPr>
            <w:tcW w:w="1206" w:type="dxa"/>
            <w:tcBorders>
              <w:top w:val="single" w:sz="4" w:space="0" w:color="000000"/>
              <w:left w:val="single" w:sz="4" w:space="0" w:color="000000"/>
              <w:bottom w:val="single" w:sz="4" w:space="0" w:color="000000"/>
              <w:right w:val="single" w:sz="4" w:space="0" w:color="000000"/>
            </w:tcBorders>
          </w:tcPr>
          <w:p w14:paraId="71356B55" w14:textId="77777777" w:rsidR="003A149E" w:rsidRDefault="00000000">
            <w:pPr>
              <w:spacing w:line="256" w:lineRule="auto"/>
            </w:pPr>
            <w:r>
              <w:rPr>
                <w:rFonts w:ascii="Times New Roman" w:eastAsia="Times New Roman" w:hAnsi="Times New Roman" w:cs="Times New Roman"/>
                <w:sz w:val="16"/>
                <w:szCs w:val="16"/>
              </w:rPr>
              <w:t>Highlight tetangga; filter ambang bobot edge (persentil); tooltip</w:t>
            </w:r>
          </w:p>
        </w:tc>
      </w:tr>
      <w:tr w:rsidR="003A149E" w14:paraId="4223AEF1" w14:textId="77777777">
        <w:trPr>
          <w:cantSplit/>
        </w:trPr>
        <w:tc>
          <w:tcPr>
            <w:tcW w:w="900" w:type="dxa"/>
            <w:tcBorders>
              <w:top w:val="single" w:sz="4" w:space="0" w:color="000000"/>
              <w:left w:val="single" w:sz="4" w:space="0" w:color="000000"/>
              <w:bottom w:val="single" w:sz="4" w:space="0" w:color="000000"/>
              <w:right w:val="single" w:sz="4" w:space="0" w:color="000000"/>
            </w:tcBorders>
          </w:tcPr>
          <w:p w14:paraId="6B903895" w14:textId="77777777" w:rsidR="003A149E" w:rsidRDefault="00000000">
            <w:pPr>
              <w:spacing w:line="256" w:lineRule="auto"/>
            </w:pPr>
            <w:r>
              <w:rPr>
                <w:rFonts w:ascii="Times New Roman" w:eastAsia="Times New Roman" w:hAnsi="Times New Roman" w:cs="Times New Roman"/>
                <w:sz w:val="16"/>
                <w:szCs w:val="16"/>
              </w:rPr>
              <w:t>Data berhierarki</w:t>
            </w:r>
          </w:p>
        </w:tc>
        <w:tc>
          <w:tcPr>
            <w:tcW w:w="1150" w:type="dxa"/>
            <w:tcBorders>
              <w:top w:val="single" w:sz="4" w:space="0" w:color="000000"/>
              <w:left w:val="single" w:sz="4" w:space="0" w:color="000000"/>
              <w:bottom w:val="single" w:sz="4" w:space="0" w:color="000000"/>
              <w:right w:val="single" w:sz="4" w:space="0" w:color="000000"/>
            </w:tcBorders>
          </w:tcPr>
          <w:p w14:paraId="16D7A42B" w14:textId="77777777" w:rsidR="003A149E" w:rsidRDefault="00000000">
            <w:pPr>
              <w:spacing w:line="256" w:lineRule="auto"/>
            </w:pPr>
            <w:r>
              <w:rPr>
                <w:rFonts w:ascii="Times New Roman" w:eastAsia="Times New Roman" w:hAnsi="Times New Roman" w:cs="Times New Roman"/>
                <w:sz w:val="16"/>
                <w:szCs w:val="16"/>
              </w:rPr>
              <w:t>Treemap dan sunburst (kelompok → kategori → produk)</w:t>
            </w:r>
          </w:p>
        </w:tc>
        <w:tc>
          <w:tcPr>
            <w:tcW w:w="1650" w:type="dxa"/>
            <w:tcBorders>
              <w:top w:val="single" w:sz="4" w:space="0" w:color="000000"/>
              <w:left w:val="single" w:sz="4" w:space="0" w:color="000000"/>
              <w:bottom w:val="single" w:sz="4" w:space="0" w:color="000000"/>
              <w:right w:val="single" w:sz="4" w:space="0" w:color="000000"/>
            </w:tcBorders>
          </w:tcPr>
          <w:p w14:paraId="69C1B8CB" w14:textId="77777777" w:rsidR="003A149E" w:rsidRDefault="00000000">
            <w:pPr>
              <w:spacing w:line="256" w:lineRule="auto"/>
            </w:pPr>
            <w:r>
              <w:rPr>
                <w:rFonts w:ascii="Times New Roman" w:eastAsia="Times New Roman" w:hAnsi="Times New Roman" w:cs="Times New Roman"/>
                <w:sz w:val="16"/>
                <w:szCs w:val="16"/>
              </w:rPr>
              <w:t>Luas = total output; warna = indeks BL (skala sekuensial)</w:t>
            </w:r>
          </w:p>
        </w:tc>
        <w:tc>
          <w:tcPr>
            <w:tcW w:w="1206" w:type="dxa"/>
            <w:tcBorders>
              <w:top w:val="single" w:sz="4" w:space="0" w:color="000000"/>
              <w:left w:val="single" w:sz="4" w:space="0" w:color="000000"/>
              <w:bottom w:val="single" w:sz="4" w:space="0" w:color="000000"/>
              <w:right w:val="single" w:sz="4" w:space="0" w:color="000000"/>
            </w:tcBorders>
          </w:tcPr>
          <w:p w14:paraId="47DB4645" w14:textId="77777777" w:rsidR="003A149E" w:rsidRDefault="00000000">
            <w:pPr>
              <w:spacing w:line="256" w:lineRule="auto"/>
            </w:pPr>
            <w:r>
              <w:rPr>
                <w:rFonts w:ascii="Times New Roman" w:eastAsia="Times New Roman" w:hAnsi="Times New Roman" w:cs="Times New Roman"/>
                <w:sz w:val="16"/>
                <w:szCs w:val="16"/>
              </w:rPr>
              <w:t>Drill-down dengan breadcrumb; tooltip</w:t>
            </w:r>
          </w:p>
        </w:tc>
      </w:tr>
      <w:tr w:rsidR="003A149E" w14:paraId="1E7AC9A8" w14:textId="77777777">
        <w:trPr>
          <w:cantSplit/>
        </w:trPr>
        <w:tc>
          <w:tcPr>
            <w:tcW w:w="900" w:type="dxa"/>
            <w:tcBorders>
              <w:top w:val="single" w:sz="4" w:space="0" w:color="000000"/>
              <w:left w:val="single" w:sz="4" w:space="0" w:color="000000"/>
              <w:bottom w:val="single" w:sz="4" w:space="0" w:color="000000"/>
              <w:right w:val="single" w:sz="4" w:space="0" w:color="000000"/>
            </w:tcBorders>
          </w:tcPr>
          <w:p w14:paraId="6DFB2046" w14:textId="77777777" w:rsidR="003A149E" w:rsidRDefault="00000000">
            <w:pPr>
              <w:spacing w:line="256" w:lineRule="auto"/>
            </w:pPr>
            <w:r>
              <w:rPr>
                <w:rFonts w:ascii="Times New Roman" w:eastAsia="Times New Roman" w:hAnsi="Times New Roman" w:cs="Times New Roman"/>
                <w:sz w:val="16"/>
                <w:szCs w:val="16"/>
              </w:rPr>
              <w:t>Data aliran</w:t>
            </w:r>
          </w:p>
        </w:tc>
        <w:tc>
          <w:tcPr>
            <w:tcW w:w="1150" w:type="dxa"/>
            <w:tcBorders>
              <w:top w:val="single" w:sz="4" w:space="0" w:color="000000"/>
              <w:left w:val="single" w:sz="4" w:space="0" w:color="000000"/>
              <w:bottom w:val="single" w:sz="4" w:space="0" w:color="000000"/>
              <w:right w:val="single" w:sz="4" w:space="0" w:color="000000"/>
            </w:tcBorders>
          </w:tcPr>
          <w:p w14:paraId="56121DA2" w14:textId="77777777" w:rsidR="003A149E" w:rsidRDefault="00000000">
            <w:pPr>
              <w:spacing w:line="256" w:lineRule="auto"/>
            </w:pPr>
            <w:r>
              <w:rPr>
                <w:rFonts w:ascii="Times New Roman" w:eastAsia="Times New Roman" w:hAnsi="Times New Roman" w:cs="Times New Roman"/>
                <w:sz w:val="16"/>
                <w:szCs w:val="16"/>
              </w:rPr>
              <w:t>Diagram Sankey dan chord untuk 17 kategori</w:t>
            </w:r>
          </w:p>
        </w:tc>
        <w:tc>
          <w:tcPr>
            <w:tcW w:w="1650" w:type="dxa"/>
            <w:tcBorders>
              <w:top w:val="single" w:sz="4" w:space="0" w:color="000000"/>
              <w:left w:val="single" w:sz="4" w:space="0" w:color="000000"/>
              <w:bottom w:val="single" w:sz="4" w:space="0" w:color="000000"/>
              <w:right w:val="single" w:sz="4" w:space="0" w:color="000000"/>
            </w:tcBorders>
          </w:tcPr>
          <w:p w14:paraId="1007A19A" w14:textId="77777777" w:rsidR="003A149E" w:rsidRDefault="00000000">
            <w:pPr>
              <w:spacing w:line="256" w:lineRule="auto"/>
            </w:pPr>
            <w:r>
              <w:rPr>
                <w:rFonts w:ascii="Times New Roman" w:eastAsia="Times New Roman" w:hAnsi="Times New Roman" w:cs="Times New Roman"/>
                <w:sz w:val="16"/>
                <w:szCs w:val="16"/>
              </w:rPr>
              <w:t>Ketebalan = nilai aliran; warna = kelompok asal (primer, sekunder, tersier)</w:t>
            </w:r>
          </w:p>
        </w:tc>
        <w:tc>
          <w:tcPr>
            <w:tcW w:w="1206" w:type="dxa"/>
            <w:tcBorders>
              <w:top w:val="single" w:sz="4" w:space="0" w:color="000000"/>
              <w:left w:val="single" w:sz="4" w:space="0" w:color="000000"/>
              <w:bottom w:val="single" w:sz="4" w:space="0" w:color="000000"/>
              <w:right w:val="single" w:sz="4" w:space="0" w:color="000000"/>
            </w:tcBorders>
          </w:tcPr>
          <w:p w14:paraId="0FCF4AF1" w14:textId="77777777" w:rsidR="003A149E" w:rsidRDefault="00000000">
            <w:pPr>
              <w:spacing w:line="256" w:lineRule="auto"/>
            </w:pPr>
            <w:r>
              <w:rPr>
                <w:rFonts w:ascii="Times New Roman" w:eastAsia="Times New Roman" w:hAnsi="Times New Roman" w:cs="Times New Roman"/>
                <w:sz w:val="16"/>
                <w:szCs w:val="16"/>
              </w:rPr>
              <w:t>Filter asal dan tujuan; tooltip</w:t>
            </w:r>
          </w:p>
        </w:tc>
      </w:tr>
    </w:tbl>
    <w:p w14:paraId="6796FE28" w14:textId="77777777" w:rsidR="003A149E" w:rsidRDefault="003A149E">
      <w:pPr>
        <w:pBdr>
          <w:top w:val="nil"/>
          <w:left w:val="nil"/>
          <w:bottom w:val="nil"/>
          <w:right w:val="nil"/>
          <w:between w:val="nil"/>
        </w:pBdr>
        <w:ind w:firstLine="216"/>
        <w:jc w:val="both"/>
        <w:rPr>
          <w:sz w:val="20"/>
          <w:szCs w:val="20"/>
        </w:rPr>
      </w:pPr>
    </w:p>
    <w:p w14:paraId="26A1335A" w14:textId="77777777" w:rsidR="003A149E" w:rsidRDefault="00000000">
      <w:pPr>
        <w:pBdr>
          <w:top w:val="nil"/>
          <w:left w:val="nil"/>
          <w:bottom w:val="nil"/>
          <w:right w:val="nil"/>
          <w:between w:val="nil"/>
        </w:pBdr>
        <w:ind w:firstLine="216"/>
        <w:jc w:val="both"/>
        <w:rPr>
          <w:sz w:val="20"/>
          <w:szCs w:val="20"/>
        </w:rPr>
      </w:pPr>
      <w:r>
        <w:rPr>
          <w:sz w:val="20"/>
          <w:szCs w:val="20"/>
        </w:rPr>
        <w:t xml:space="preserve">Palet kategorikal Okabe–Ito (delapan warna) dipakai untuk komunitas dan kelompok, sedangkan skala sekuensial YlGnBu dari ColorBrewer [17] dipakai untuk indeks BL; pilihan ini dimaksudkan ramah buta warna. [ISI: sebutkan alat simulator buta warna yang Anda gunakan, hasil ujinya, dan sitasi palet </w:t>
      </w:r>
      <w:r>
        <w:rPr>
          <w:sz w:val="20"/>
          <w:szCs w:val="20"/>
        </w:rPr>
        <w:lastRenderedPageBreak/>
        <w:t>Okabe–Ito.] Tata letak dibuat responsif agar terbaca pada laptop maupun ponsel.</w:t>
      </w:r>
    </w:p>
    <w:p w14:paraId="113BCFFA" w14:textId="77777777" w:rsidR="003A149E" w:rsidRDefault="00000000">
      <w:pPr>
        <w:spacing w:after="38" w:line="256" w:lineRule="auto"/>
        <w:ind w:left="10" w:hanging="10"/>
        <w:jc w:val="both"/>
        <w:rPr>
          <w:color w:val="000000"/>
          <w:sz w:val="20"/>
          <w:szCs w:val="20"/>
        </w:rPr>
      </w:pPr>
      <w:r>
        <w:rPr>
          <w:i/>
          <w:iCs/>
          <w:sz w:val="20"/>
          <w:szCs w:val="20"/>
        </w:rPr>
        <w:t>D. Implementasi dan deployment</w:t>
      </w:r>
    </w:p>
    <w:p w14:paraId="3EA659DA" w14:textId="77777777" w:rsidR="003A149E" w:rsidRDefault="00000000">
      <w:pPr>
        <w:pBdr>
          <w:top w:val="nil"/>
          <w:left w:val="nil"/>
          <w:bottom w:val="nil"/>
          <w:right w:val="nil"/>
          <w:between w:val="nil"/>
        </w:pBdr>
        <w:ind w:firstLine="216"/>
        <w:jc w:val="both"/>
        <w:rPr>
          <w:sz w:val="20"/>
          <w:szCs w:val="20"/>
        </w:rPr>
      </w:pPr>
      <w:r>
        <w:rPr>
          <w:sz w:val="20"/>
          <w:szCs w:val="20"/>
        </w:rPr>
        <w:t>Pengolahan memakai Python (pandas, NumPy, NetworkX), sedangkan visualisasi memakai D3.js [14] dan modul d3-sankey dalam satu laman statis. Laman dipublikasikan melalui GitHub Pages tanpa login, dan repositori publik memuat kode, data terolah, dan README. Tautan dijaga tetap aktif sampai nilai akhir diumumkan.</w:t>
      </w:r>
    </w:p>
    <w:p w14:paraId="0ED1C43C" w14:textId="77777777" w:rsidR="003A149E" w:rsidRDefault="00000000">
      <w:pPr>
        <w:spacing w:after="38" w:line="256" w:lineRule="auto"/>
        <w:ind w:left="10" w:hanging="10"/>
        <w:jc w:val="both"/>
        <w:rPr>
          <w:color w:val="000000"/>
          <w:sz w:val="20"/>
          <w:szCs w:val="20"/>
        </w:rPr>
      </w:pPr>
      <w:r>
        <w:rPr>
          <w:i/>
          <w:iCs/>
          <w:sz w:val="20"/>
          <w:szCs w:val="20"/>
        </w:rPr>
        <w:t>E. Deklarasi penggunaan alat bantu AI</w:t>
      </w:r>
    </w:p>
    <w:p w14:paraId="2061E294" w14:textId="77777777" w:rsidR="003A149E" w:rsidRDefault="00000000">
      <w:pPr>
        <w:pBdr>
          <w:top w:val="nil"/>
          <w:left w:val="nil"/>
          <w:bottom w:val="nil"/>
          <w:right w:val="nil"/>
          <w:between w:val="nil"/>
        </w:pBdr>
        <w:ind w:firstLine="216"/>
        <w:jc w:val="both"/>
        <w:rPr>
          <w:sz w:val="20"/>
          <w:szCs w:val="20"/>
        </w:rPr>
      </w:pPr>
      <w:r>
        <w:rPr>
          <w:sz w:val="20"/>
          <w:szCs w:val="20"/>
        </w:rPr>
        <w:t>Penulis menggunakan Claude (Anthropic) sebagai alat bantu untuk menyusun kerangka dan draf makalah, menulis skrip pra-pemrosesan data, serta menulis kode awal laman visualisasi. Seluruh data, analisis, interpretasi, dan isi akhir diperiksa dan menjadi tanggung jawab penuh penulis.</w:t>
      </w:r>
    </w:p>
    <w:p w14:paraId="663E04C1"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Hasil dan Pembahasan</w:t>
      </w:r>
    </w:p>
    <w:p w14:paraId="74495AC5" w14:textId="77777777" w:rsidR="003A149E" w:rsidRDefault="00000000">
      <w:pPr>
        <w:spacing w:after="38" w:line="256" w:lineRule="auto"/>
        <w:ind w:left="10" w:hanging="10"/>
        <w:jc w:val="both"/>
        <w:rPr>
          <w:color w:val="000000"/>
          <w:sz w:val="20"/>
          <w:szCs w:val="20"/>
        </w:rPr>
      </w:pPr>
      <w:r>
        <w:rPr>
          <w:i/>
          <w:iCs/>
          <w:sz w:val="20"/>
          <w:szCs w:val="20"/>
        </w:rPr>
        <w:t>A. Tampilan aplikasi</w:t>
      </w:r>
    </w:p>
    <w:p w14:paraId="3D2C1EAB" w14:textId="77777777" w:rsidR="003A149E" w:rsidRDefault="00000000">
      <w:pPr>
        <w:pBdr>
          <w:top w:val="nil"/>
          <w:left w:val="nil"/>
          <w:bottom w:val="nil"/>
          <w:right w:val="nil"/>
          <w:between w:val="nil"/>
        </w:pBdr>
        <w:ind w:firstLine="216"/>
        <w:jc w:val="both"/>
        <w:rPr>
          <w:sz w:val="20"/>
          <w:szCs w:val="20"/>
        </w:rPr>
      </w:pPr>
      <w:r>
        <w:rPr>
          <w:sz w:val="20"/>
          <w:szCs w:val="20"/>
        </w:rPr>
        <w:t>Laman terdiri atas tiga tab sesuai tiga topik visualisasi. Gambar 1–4 menampilkan antarmuka pada laptop dan ponsel.</w:t>
      </w:r>
    </w:p>
    <w:p w14:paraId="60A15D90" w14:textId="77777777" w:rsidR="003A149E" w:rsidRDefault="00000000">
      <w:pPr>
        <w:spacing w:line="256" w:lineRule="auto"/>
        <w:ind w:left="-60" w:right="-60"/>
        <w:jc w:val="center"/>
        <w:rPr>
          <w:color w:val="000000"/>
          <w:sz w:val="20"/>
          <w:szCs w:val="20"/>
        </w:rPr>
      </w:pPr>
      <w:r>
        <w:rPr>
          <w:i/>
          <w:iCs/>
          <w:color w:val="000000"/>
          <w:sz w:val="16"/>
          <w:szCs w:val="16"/>
        </w:rPr>
        <w:t>[ISI: tempel tangkapan layar graf jaringan antarsektor dengan panel filter ambang bobot]</w:t>
      </w:r>
    </w:p>
    <w:p w14:paraId="298F362E" w14:textId="77777777" w:rsidR="003A149E" w:rsidRDefault="00000000">
      <w:pPr>
        <w:spacing w:line="256" w:lineRule="auto"/>
        <w:ind w:left="-60" w:right="-60"/>
        <w:jc w:val="center"/>
        <w:rPr>
          <w:color w:val="000000"/>
          <w:sz w:val="20"/>
          <w:szCs w:val="20"/>
        </w:rPr>
      </w:pPr>
      <w:r>
        <w:rPr>
          <w:color w:val="000000"/>
          <w:sz w:val="16"/>
          <w:szCs w:val="16"/>
        </w:rPr>
        <w:t>Gambar 1. Graf jaringan antarsektor dan matriks adjasensi.</w:t>
      </w:r>
    </w:p>
    <w:p w14:paraId="761E4685" w14:textId="77777777" w:rsidR="003A149E" w:rsidRDefault="00000000">
      <w:pPr>
        <w:spacing w:line="256" w:lineRule="auto"/>
        <w:ind w:left="-60" w:right="-60"/>
        <w:jc w:val="center"/>
        <w:rPr>
          <w:color w:val="000000"/>
          <w:sz w:val="20"/>
          <w:szCs w:val="20"/>
        </w:rPr>
      </w:pPr>
      <w:r>
        <w:rPr>
          <w:i/>
          <w:iCs/>
          <w:color w:val="000000"/>
          <w:sz w:val="16"/>
          <w:szCs w:val="16"/>
        </w:rPr>
        <w:t>[ISI: tempel tangkapan layar treemap/sunburst dengan breadcrumb pada tingkat kategori]</w:t>
      </w:r>
    </w:p>
    <w:p w14:paraId="028444EC" w14:textId="77777777" w:rsidR="003A149E" w:rsidRDefault="00000000">
      <w:pPr>
        <w:spacing w:line="256" w:lineRule="auto"/>
        <w:ind w:left="-60" w:right="-60"/>
        <w:jc w:val="center"/>
        <w:rPr>
          <w:color w:val="000000"/>
          <w:sz w:val="20"/>
          <w:szCs w:val="20"/>
        </w:rPr>
      </w:pPr>
      <w:r>
        <w:rPr>
          <w:color w:val="000000"/>
          <w:sz w:val="16"/>
          <w:szCs w:val="16"/>
        </w:rPr>
        <w:t>Gambar 2. Treemap dan sunburst dengan penunjuk posisi.</w:t>
      </w:r>
    </w:p>
    <w:p w14:paraId="2754B4BA" w14:textId="77777777" w:rsidR="003A149E" w:rsidRDefault="00000000">
      <w:pPr>
        <w:spacing w:line="256" w:lineRule="auto"/>
        <w:ind w:left="-60" w:right="-60"/>
        <w:jc w:val="center"/>
        <w:rPr>
          <w:color w:val="000000"/>
          <w:sz w:val="20"/>
          <w:szCs w:val="20"/>
        </w:rPr>
      </w:pPr>
      <w:r>
        <w:rPr>
          <w:i/>
          <w:iCs/>
          <w:color w:val="000000"/>
          <w:sz w:val="16"/>
          <w:szCs w:val="16"/>
        </w:rPr>
        <w:t>[ISI: tempel tangkapan layar diagram Sankey dan chord untuk 17 kategori]</w:t>
      </w:r>
    </w:p>
    <w:p w14:paraId="77A616BD" w14:textId="77777777" w:rsidR="003A149E" w:rsidRDefault="00000000">
      <w:pPr>
        <w:spacing w:line="256" w:lineRule="auto"/>
        <w:ind w:left="-60" w:right="-60"/>
        <w:jc w:val="center"/>
        <w:rPr>
          <w:color w:val="000000"/>
          <w:sz w:val="20"/>
          <w:szCs w:val="20"/>
        </w:rPr>
      </w:pPr>
      <w:r>
        <w:rPr>
          <w:color w:val="000000"/>
          <w:sz w:val="16"/>
          <w:szCs w:val="16"/>
        </w:rPr>
        <w:t>Gambar 3. Diagram Sankey dan chord antarkategori.</w:t>
      </w:r>
    </w:p>
    <w:p w14:paraId="39C35954" w14:textId="77777777" w:rsidR="003A149E" w:rsidRDefault="00000000">
      <w:pPr>
        <w:spacing w:line="256" w:lineRule="auto"/>
        <w:ind w:left="-60" w:right="-60"/>
        <w:jc w:val="center"/>
        <w:rPr>
          <w:color w:val="000000"/>
          <w:sz w:val="20"/>
          <w:szCs w:val="20"/>
        </w:rPr>
      </w:pPr>
      <w:r>
        <w:rPr>
          <w:i/>
          <w:iCs/>
          <w:color w:val="000000"/>
          <w:sz w:val="16"/>
          <w:szCs w:val="16"/>
        </w:rPr>
        <w:t>[ISI: tempel tangkapan layar tampilan pada ponsel]</w:t>
      </w:r>
    </w:p>
    <w:p w14:paraId="1646D159" w14:textId="77777777" w:rsidR="003A149E" w:rsidRDefault="00000000">
      <w:pPr>
        <w:spacing w:line="256" w:lineRule="auto"/>
        <w:ind w:left="-60" w:right="-60"/>
        <w:jc w:val="center"/>
        <w:rPr>
          <w:color w:val="000000"/>
          <w:sz w:val="20"/>
          <w:szCs w:val="20"/>
        </w:rPr>
      </w:pPr>
      <w:r>
        <w:rPr>
          <w:color w:val="000000"/>
          <w:sz w:val="16"/>
          <w:szCs w:val="16"/>
        </w:rPr>
        <w:t>Gambar 4. Tampilan laman pada ponsel.</w:t>
      </w:r>
    </w:p>
    <w:p w14:paraId="35D9F10A" w14:textId="77777777" w:rsidR="003A149E" w:rsidRDefault="00000000">
      <w:pPr>
        <w:spacing w:after="38" w:line="256" w:lineRule="auto"/>
        <w:ind w:left="10" w:hanging="10"/>
        <w:jc w:val="both"/>
        <w:rPr>
          <w:color w:val="000000"/>
          <w:sz w:val="20"/>
          <w:szCs w:val="20"/>
        </w:rPr>
      </w:pPr>
      <w:r>
        <w:rPr>
          <w:i/>
          <w:iCs/>
          <w:sz w:val="20"/>
          <w:szCs w:val="20"/>
        </w:rPr>
        <w:t>B. Temuan dan insight</w:t>
      </w:r>
    </w:p>
    <w:p w14:paraId="0500DED5" w14:textId="77777777" w:rsidR="003A149E" w:rsidRDefault="00000000">
      <w:pPr>
        <w:pBdr>
          <w:top w:val="nil"/>
          <w:left w:val="nil"/>
          <w:bottom w:val="nil"/>
          <w:right w:val="nil"/>
          <w:between w:val="nil"/>
        </w:pBdr>
        <w:ind w:firstLine="216"/>
        <w:jc w:val="both"/>
        <w:rPr>
          <w:sz w:val="20"/>
          <w:szCs w:val="20"/>
        </w:rPr>
      </w:pPr>
      <w:r>
        <w:rPr>
          <w:sz w:val="20"/>
          <w:szCs w:val="20"/>
        </w:rPr>
        <w:t>[ISI: tulis temuan dari hasil analisis Anda sendiri, bukan dari draf ini. Pertanyaan pemandu:]</w:t>
      </w:r>
    </w:p>
    <w:p w14:paraId="0D714ED3"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Sektor mana yang memiliki BL dan FL sama-sama di atas 1 (sektor kunci), dan apakah hasilnya sejalan dengan studi terdahulu [4]?</w:t>
      </w:r>
    </w:p>
    <w:p w14:paraId="4EE9A608"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Berapa komunitas yang terbentuk, dan sektor apa saja yang berkelompok?</w:t>
      </w:r>
    </w:p>
    <w:p w14:paraId="74934F47"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Sektor mana yang berperan sebagai penghubung (betweenness tinggi) walau nilai transaksinya tidak terbesar?</w:t>
      </w:r>
    </w:p>
    <w:p w14:paraId="525556D8"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Kategori mana yang menjadi pemasok dan pengguna terbesar pada diagram aliran 17 × 17?</w:t>
      </w:r>
    </w:p>
    <w:p w14:paraId="2EF186A5"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Jika Anda menambahkan tahun lain (misalnya 2016) sebagai pembanding, apa yang berubah?</w:t>
      </w:r>
    </w:p>
    <w:p w14:paraId="02C72A2F" w14:textId="77777777" w:rsidR="003A149E" w:rsidRDefault="00000000">
      <w:pPr>
        <w:spacing w:after="38" w:line="256" w:lineRule="auto"/>
        <w:ind w:left="10" w:hanging="10"/>
        <w:jc w:val="both"/>
        <w:rPr>
          <w:color w:val="000000"/>
          <w:sz w:val="20"/>
          <w:szCs w:val="20"/>
        </w:rPr>
      </w:pPr>
      <w:r>
        <w:rPr>
          <w:i/>
          <w:iCs/>
          <w:sz w:val="20"/>
          <w:szCs w:val="20"/>
        </w:rPr>
        <w:t>C. Evaluasi rancangan</w:t>
      </w:r>
    </w:p>
    <w:p w14:paraId="2DA9F011"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Pemenuhan ketentuan minimal topik: 185 node (≥ 30), graf force-directed plus matriks adjasensi, sentralitas dan komunitas dikodekan visual, highlight tetangga dan filter bobot; 3 tingkat hierarki dengan dua representasi, serta ukuran dan warna untuk dua variabel berbeda; 17 entitas (≥ 15) dengan dua teknik aliran dan filter. [ISI: konfirmasi setelah implementasi.]</w:t>
      </w:r>
    </w:p>
    <w:p w14:paraId="6B6B8F59"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Aksesibilitas warna: [ISI: hasil uji simulator buta warna].</w:t>
      </w:r>
    </w:p>
    <w:p w14:paraId="18672BA4"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Keterbacaan pada ponsel: [ISI: hasil uji pada ukuran layar yang Anda coba].</w:t>
      </w:r>
    </w:p>
    <w:p w14:paraId="4901F20B"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Umpan balik pengguna: [ISI: jumlah dan profil penguji, serta temuan utama].</w:t>
      </w:r>
    </w:p>
    <w:p w14:paraId="6AAF6410" w14:textId="77777777" w:rsidR="003A149E" w:rsidRDefault="00000000">
      <w:pPr>
        <w:spacing w:after="38" w:line="256" w:lineRule="auto"/>
        <w:ind w:left="10" w:hanging="10"/>
        <w:jc w:val="both"/>
        <w:rPr>
          <w:color w:val="000000"/>
          <w:sz w:val="20"/>
          <w:szCs w:val="20"/>
        </w:rPr>
      </w:pPr>
      <w:r>
        <w:rPr>
          <w:i/>
          <w:iCs/>
          <w:sz w:val="20"/>
          <w:szCs w:val="20"/>
        </w:rPr>
        <w:t>D. Keterbatasan</w:t>
      </w:r>
    </w:p>
    <w:p w14:paraId="659EB25F" w14:textId="77777777" w:rsidR="003A149E" w:rsidRDefault="00000000">
      <w:pPr>
        <w:pBdr>
          <w:top w:val="nil"/>
          <w:left w:val="nil"/>
          <w:bottom w:val="nil"/>
          <w:right w:val="nil"/>
          <w:between w:val="nil"/>
        </w:pBdr>
        <w:ind w:firstLine="216"/>
        <w:jc w:val="both"/>
        <w:rPr>
          <w:sz w:val="20"/>
          <w:szCs w:val="20"/>
        </w:rPr>
      </w:pPr>
      <w:r>
        <w:rPr>
          <w:sz w:val="20"/>
          <w:szCs w:val="20"/>
        </w:rPr>
        <w:t>Tabel I-O terbit berkala dengan selang beberapa tahun sehingga tidak mencerminkan struktur ekonomi terkini [1], [2]. Agregasi ke 17 kategori menyembunyikan variasi antarproduk. Tabel yang dipakai adalah transaksi total sehingga memuat komponen impor, dan indeks keterkaitan darinya dapat berbeda dari hasil tabel domestik. Graf berbobot padat sehingga memerlukan ambang bobot untuk terbaca, dan ambang tersebut memengaruhi pola yang tampak. Diagram aliran tidak menampilkan transaksi di dalam kategori yang sama, dan hasil komunitas Louvain bergantung pada benih acak dan parameter resolusi. Pengelompokan sektor oleh penulis bersifat subjektif. [ISI: tambahkan keterbatasan lain yang Anda temui.]</w:t>
      </w:r>
    </w:p>
    <w:p w14:paraId="142DCA52"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Kesimpulan</w:t>
      </w:r>
    </w:p>
    <w:p w14:paraId="3BB75D2B" w14:textId="77777777" w:rsidR="003A149E" w:rsidRDefault="00000000">
      <w:pPr>
        <w:pBdr>
          <w:top w:val="nil"/>
          <w:left w:val="nil"/>
          <w:bottom w:val="nil"/>
          <w:right w:val="nil"/>
          <w:between w:val="nil"/>
        </w:pBdr>
        <w:ind w:firstLine="216"/>
        <w:jc w:val="both"/>
        <w:rPr>
          <w:sz w:val="20"/>
          <w:szCs w:val="20"/>
        </w:rPr>
      </w:pPr>
      <w:r>
        <w:rPr>
          <w:sz w:val="20"/>
          <w:szCs w:val="20"/>
        </w:rPr>
        <w:t>Proyek ini mengubah Tabel I-O BPS menjadi tiga sudut pandang interaktif: jaringan, hierarki, dan aliran. [ISI: ringkas temuan utama dengan angka dari hasil Anda.] Rancangan memenuhi ketentuan minimal topik, tetapi tetap dibatasi oleh usia data dan agregasi sektor. Pengembangan berikutnya dapat menambahkan perbandingan antartahun, Tabel I-O antardaerah, dan analisis pengganda yang terhubung langsung ke tampilan.</w:t>
      </w:r>
    </w:p>
    <w:p w14:paraId="047E0900" w14:textId="77777777" w:rsidR="003A149E" w:rsidRDefault="00000000">
      <w:pPr>
        <w:pBdr>
          <w:top w:val="nil"/>
          <w:left w:val="nil"/>
          <w:bottom w:val="nil"/>
          <w:right w:val="nil"/>
          <w:between w:val="nil"/>
        </w:pBdr>
        <w:spacing w:before="180" w:after="60"/>
        <w:ind w:left="289" w:hanging="289"/>
        <w:jc w:val="center"/>
        <w:rPr>
          <w:smallCaps/>
          <w:sz w:val="20"/>
          <w:szCs w:val="20"/>
        </w:rPr>
      </w:pPr>
      <w:r>
        <w:rPr>
          <w:smallCaps/>
          <w:sz w:val="20"/>
          <w:szCs w:val="20"/>
        </w:rPr>
        <w:t>URL Proyek dan Repositori</w:t>
      </w:r>
    </w:p>
    <w:p w14:paraId="722BF853" w14:textId="77777777" w:rsidR="003A149E" w:rsidRDefault="00000000">
      <w:pPr>
        <w:pBdr>
          <w:top w:val="nil"/>
          <w:left w:val="nil"/>
          <w:bottom w:val="nil"/>
          <w:right w:val="nil"/>
          <w:between w:val="nil"/>
        </w:pBdr>
        <w:ind w:firstLine="216"/>
        <w:jc w:val="both"/>
        <w:rPr>
          <w:sz w:val="20"/>
          <w:szCs w:val="20"/>
        </w:rPr>
      </w:pPr>
      <w:r>
        <w:rPr>
          <w:sz w:val="20"/>
          <w:szCs w:val="20"/>
        </w:rPr>
        <w:t>Laman visualisasi (publik, tanpa login): [ISI: URL setelah deployment]</w:t>
      </w:r>
    </w:p>
    <w:p w14:paraId="1BE27241" w14:textId="77777777" w:rsidR="003A149E" w:rsidRDefault="00000000">
      <w:pPr>
        <w:pBdr>
          <w:top w:val="nil"/>
          <w:left w:val="nil"/>
          <w:bottom w:val="nil"/>
          <w:right w:val="nil"/>
          <w:between w:val="nil"/>
        </w:pBdr>
        <w:ind w:firstLine="216"/>
        <w:jc w:val="both"/>
        <w:rPr>
          <w:sz w:val="20"/>
          <w:szCs w:val="20"/>
        </w:rPr>
      </w:pPr>
      <w:r>
        <w:rPr>
          <w:sz w:val="20"/>
          <w:szCs w:val="20"/>
        </w:rPr>
        <w:t>Repositori publik: [ISI: URL GitHub/GitLab]</w:t>
      </w:r>
    </w:p>
    <w:p w14:paraId="5945E2E1" w14:textId="77777777" w:rsidR="003A149E" w:rsidRDefault="00000000">
      <w:pPr>
        <w:pBdr>
          <w:top w:val="nil"/>
          <w:left w:val="nil"/>
          <w:bottom w:val="nil"/>
          <w:right w:val="nil"/>
          <w:between w:val="nil"/>
        </w:pBdr>
        <w:spacing w:before="180" w:after="60"/>
        <w:ind w:left="289" w:hanging="289"/>
        <w:jc w:val="center"/>
        <w:rPr>
          <w:smallCaps/>
          <w:sz w:val="20"/>
          <w:szCs w:val="20"/>
        </w:rPr>
      </w:pPr>
      <w:r>
        <w:rPr>
          <w:smallCaps/>
          <w:sz w:val="20"/>
          <w:szCs w:val="20"/>
        </w:rPr>
        <w:t>Daftar Pustaka</w:t>
      </w:r>
    </w:p>
    <w:p w14:paraId="691DC593" w14:textId="77777777" w:rsidR="003A149E" w:rsidRDefault="00000000">
      <w:pPr>
        <w:numPr>
          <w:ilvl w:val="0"/>
          <w:numId w:val="3"/>
        </w:numPr>
        <w:ind w:hanging="285"/>
        <w:jc w:val="both"/>
      </w:pPr>
      <w:r>
        <w:rPr>
          <w:sz w:val="16"/>
          <w:szCs w:val="16"/>
        </w:rPr>
        <w:t>Badan Pusat Statistik, “Tabel Input-Output Indonesia 2020,” BPS, Jakarta, Indonesia, Jan. 2025. [Online]. Available: https://www.bps.go.id/id/publication/2025/01/27/ea74e60a8662a70a734fa431/input-output-tables-indonesia-2020.html. Accessed: [ISI tanggal akses].</w:t>
      </w:r>
    </w:p>
    <w:p w14:paraId="36319190" w14:textId="77777777" w:rsidR="003A149E" w:rsidRDefault="00000000">
      <w:pPr>
        <w:numPr>
          <w:ilvl w:val="0"/>
          <w:numId w:val="3"/>
        </w:numPr>
        <w:ind w:hanging="285"/>
        <w:jc w:val="both"/>
      </w:pPr>
      <w:r>
        <w:rPr>
          <w:sz w:val="16"/>
          <w:szCs w:val="16"/>
        </w:rPr>
        <w:t>Badan Pusat Statistik, “Tabel Input-Output Indonesia Transaksi Total Atas Dasar Harga Dasar (185 Produk), 2020 (juta rupiah),” BPS, Jakarta, Indonesia, [ISI: tahun rilis]. [Online]. Available: [ISI: URL tabel]. Accessed: [ISI tanggal akses].</w:t>
      </w:r>
    </w:p>
    <w:p w14:paraId="26AA1024" w14:textId="77777777" w:rsidR="003A149E" w:rsidRDefault="00000000">
      <w:pPr>
        <w:numPr>
          <w:ilvl w:val="0"/>
          <w:numId w:val="3"/>
        </w:numPr>
        <w:ind w:hanging="285"/>
        <w:jc w:val="both"/>
      </w:pPr>
      <w:r>
        <w:rPr>
          <w:sz w:val="16"/>
          <w:szCs w:val="16"/>
        </w:rPr>
        <w:t xml:space="preserve">R. E. Miller and P. D. Blair, </w:t>
      </w:r>
      <w:r>
        <w:rPr>
          <w:i/>
          <w:iCs/>
          <w:sz w:val="16"/>
          <w:szCs w:val="16"/>
        </w:rPr>
        <w:t>Input-Output Analysis: Foundations and Extensions</w:t>
      </w:r>
      <w:r>
        <w:rPr>
          <w:sz w:val="16"/>
          <w:szCs w:val="16"/>
        </w:rPr>
        <w:t>, 2nd ed. Cambridge, U.K.: Cambridge Univ. Press, 2009.</w:t>
      </w:r>
    </w:p>
    <w:p w14:paraId="6539EBD9" w14:textId="77777777" w:rsidR="003A149E" w:rsidRDefault="00000000">
      <w:pPr>
        <w:numPr>
          <w:ilvl w:val="0"/>
          <w:numId w:val="3"/>
        </w:numPr>
        <w:ind w:hanging="285"/>
        <w:jc w:val="both"/>
      </w:pPr>
      <w:r>
        <w:rPr>
          <w:sz w:val="16"/>
          <w:szCs w:val="16"/>
        </w:rPr>
        <w:t xml:space="preserve">Y. D. Nugroho, “Analysis of input-output table: Identifying leading sectors in Indonesia (case study in 2010, 2016 and 2020),” in </w:t>
      </w:r>
      <w:r>
        <w:rPr>
          <w:i/>
          <w:iCs/>
          <w:sz w:val="16"/>
          <w:szCs w:val="16"/>
        </w:rPr>
        <w:t>Proc. Int. Conf. Data Science and Official Statistics (ICDSOS)</w:t>
      </w:r>
      <w:r>
        <w:rPr>
          <w:sz w:val="16"/>
          <w:szCs w:val="16"/>
        </w:rPr>
        <w:t>, [ISI: kota dan tahun]. [Online]. Available: https://proceedings.stis.ac.id/icdsos/article/view/251</w:t>
      </w:r>
    </w:p>
    <w:p w14:paraId="7A19DB90" w14:textId="77777777" w:rsidR="003A149E" w:rsidRDefault="00000000">
      <w:pPr>
        <w:numPr>
          <w:ilvl w:val="0"/>
          <w:numId w:val="3"/>
        </w:numPr>
        <w:ind w:hanging="285"/>
        <w:jc w:val="both"/>
      </w:pPr>
      <w:r>
        <w:rPr>
          <w:sz w:val="16"/>
          <w:szCs w:val="16"/>
        </w:rPr>
        <w:t xml:space="preserve">T. Munzner, </w:t>
      </w:r>
      <w:r>
        <w:rPr>
          <w:i/>
          <w:iCs/>
          <w:sz w:val="16"/>
          <w:szCs w:val="16"/>
        </w:rPr>
        <w:t>Visualization Analysis and Design</w:t>
      </w:r>
      <w:r>
        <w:rPr>
          <w:sz w:val="16"/>
          <w:szCs w:val="16"/>
        </w:rPr>
        <w:t>. Boca Raton, FL, USA: CRC Press, 2014.</w:t>
      </w:r>
    </w:p>
    <w:p w14:paraId="4D092D8E" w14:textId="77777777" w:rsidR="003A149E" w:rsidRDefault="00000000">
      <w:pPr>
        <w:numPr>
          <w:ilvl w:val="0"/>
          <w:numId w:val="3"/>
        </w:numPr>
        <w:ind w:hanging="285"/>
        <w:jc w:val="both"/>
      </w:pPr>
      <w:r>
        <w:rPr>
          <w:sz w:val="16"/>
          <w:szCs w:val="16"/>
        </w:rPr>
        <w:t xml:space="preserve">W. Leontief, </w:t>
      </w:r>
      <w:r>
        <w:rPr>
          <w:i/>
          <w:iCs/>
          <w:sz w:val="16"/>
          <w:szCs w:val="16"/>
        </w:rPr>
        <w:t>Input-Output Economics</w:t>
      </w:r>
      <w:r>
        <w:rPr>
          <w:sz w:val="16"/>
          <w:szCs w:val="16"/>
        </w:rPr>
        <w:t>, 2nd ed. New York, NY, USA: Oxford Univ. Press, 1986.</w:t>
      </w:r>
    </w:p>
    <w:p w14:paraId="74257F5E" w14:textId="77777777" w:rsidR="003A149E" w:rsidRDefault="00000000">
      <w:pPr>
        <w:numPr>
          <w:ilvl w:val="0"/>
          <w:numId w:val="3"/>
        </w:numPr>
        <w:ind w:hanging="285"/>
        <w:jc w:val="both"/>
      </w:pPr>
      <w:r>
        <w:rPr>
          <w:sz w:val="16"/>
          <w:szCs w:val="16"/>
        </w:rPr>
        <w:t xml:space="preserve">P. N. Rasmussen, </w:t>
      </w:r>
      <w:r>
        <w:rPr>
          <w:i/>
          <w:iCs/>
          <w:sz w:val="16"/>
          <w:szCs w:val="16"/>
        </w:rPr>
        <w:t>Studies in Inter-Sectoral Relations</w:t>
      </w:r>
      <w:r>
        <w:rPr>
          <w:sz w:val="16"/>
          <w:szCs w:val="16"/>
        </w:rPr>
        <w:t>. Amsterdam, The Netherlands: North-Holland, 1956.</w:t>
      </w:r>
    </w:p>
    <w:p w14:paraId="5D9430BC" w14:textId="77777777" w:rsidR="003A149E" w:rsidRDefault="00000000">
      <w:pPr>
        <w:numPr>
          <w:ilvl w:val="0"/>
          <w:numId w:val="3"/>
        </w:numPr>
        <w:ind w:hanging="285"/>
        <w:jc w:val="both"/>
      </w:pPr>
      <w:r>
        <w:rPr>
          <w:sz w:val="16"/>
          <w:szCs w:val="16"/>
        </w:rPr>
        <w:t xml:space="preserve">A. O. Hirschman, </w:t>
      </w:r>
      <w:r>
        <w:rPr>
          <w:i/>
          <w:iCs/>
          <w:sz w:val="16"/>
          <w:szCs w:val="16"/>
        </w:rPr>
        <w:t>The Strategy of Economic Development</w:t>
      </w:r>
      <w:r>
        <w:rPr>
          <w:sz w:val="16"/>
          <w:szCs w:val="16"/>
        </w:rPr>
        <w:t>. New Haven, CT, USA: Yale Univ. Press, 1958.</w:t>
      </w:r>
    </w:p>
    <w:p w14:paraId="191E723E" w14:textId="77777777" w:rsidR="003A149E" w:rsidRDefault="00000000">
      <w:pPr>
        <w:numPr>
          <w:ilvl w:val="0"/>
          <w:numId w:val="3"/>
        </w:numPr>
        <w:ind w:hanging="285"/>
        <w:jc w:val="both"/>
      </w:pPr>
      <w:r>
        <w:rPr>
          <w:sz w:val="16"/>
          <w:szCs w:val="16"/>
        </w:rPr>
        <w:t xml:space="preserve">B. Shneiderman, “The eyes have it: A task by data type taxonomy for information visualizations,” in </w:t>
      </w:r>
      <w:r>
        <w:rPr>
          <w:i/>
          <w:iCs/>
          <w:sz w:val="16"/>
          <w:szCs w:val="16"/>
        </w:rPr>
        <w:t>Proc. IEEE Symp. Visual Languages</w:t>
      </w:r>
      <w:r>
        <w:rPr>
          <w:sz w:val="16"/>
          <w:szCs w:val="16"/>
        </w:rPr>
        <w:t>, Boulder, CO, USA, 1996, pp. 336–343.</w:t>
      </w:r>
    </w:p>
    <w:p w14:paraId="4011751D" w14:textId="77777777" w:rsidR="003A149E" w:rsidRDefault="00000000">
      <w:pPr>
        <w:numPr>
          <w:ilvl w:val="0"/>
          <w:numId w:val="3"/>
        </w:numPr>
        <w:ind w:hanging="285"/>
        <w:jc w:val="both"/>
      </w:pPr>
      <w:r>
        <w:rPr>
          <w:sz w:val="16"/>
          <w:szCs w:val="16"/>
        </w:rPr>
        <w:lastRenderedPageBreak/>
        <w:t xml:space="preserve">T. M. J. Fruchterman and E. M. Reingold, “Graph drawing by force-directed placement,” </w:t>
      </w:r>
      <w:r>
        <w:rPr>
          <w:i/>
          <w:iCs/>
          <w:sz w:val="16"/>
          <w:szCs w:val="16"/>
        </w:rPr>
        <w:t>Softw.: Pract. Exper.</w:t>
      </w:r>
      <w:r>
        <w:rPr>
          <w:sz w:val="16"/>
          <w:szCs w:val="16"/>
        </w:rPr>
        <w:t>, vol. 21, no. 11, pp. 1129–1164, Nov. 1991.</w:t>
      </w:r>
    </w:p>
    <w:p w14:paraId="78C6A309" w14:textId="77777777" w:rsidR="003A149E" w:rsidRDefault="00000000">
      <w:pPr>
        <w:numPr>
          <w:ilvl w:val="0"/>
          <w:numId w:val="3"/>
        </w:numPr>
        <w:ind w:hanging="285"/>
        <w:jc w:val="both"/>
      </w:pPr>
      <w:r>
        <w:rPr>
          <w:sz w:val="16"/>
          <w:szCs w:val="16"/>
        </w:rPr>
        <w:t xml:space="preserve">V. D. Blondel, J.-L. Guillaume, R. Lambiotte, and E. Lefebvre, “Fast unfolding of communities in large networks,” </w:t>
      </w:r>
      <w:r>
        <w:rPr>
          <w:i/>
          <w:iCs/>
          <w:sz w:val="16"/>
          <w:szCs w:val="16"/>
        </w:rPr>
        <w:t>J. Stat. Mech.: Theory Exp.</w:t>
      </w:r>
      <w:r>
        <w:rPr>
          <w:sz w:val="16"/>
          <w:szCs w:val="16"/>
        </w:rPr>
        <w:t>, vol. 2008, no. 10, Art. no. P10008, Oct. 2008.</w:t>
      </w:r>
    </w:p>
    <w:p w14:paraId="776997BD" w14:textId="77777777" w:rsidR="003A149E" w:rsidRDefault="00000000">
      <w:pPr>
        <w:numPr>
          <w:ilvl w:val="0"/>
          <w:numId w:val="3"/>
        </w:numPr>
        <w:ind w:hanging="285"/>
        <w:jc w:val="both"/>
      </w:pPr>
      <w:r>
        <w:rPr>
          <w:sz w:val="16"/>
          <w:szCs w:val="16"/>
        </w:rPr>
        <w:t xml:space="preserve">M. E. J. Newman, “Modularity and community structure in networks,” </w:t>
      </w:r>
      <w:r>
        <w:rPr>
          <w:i/>
          <w:iCs/>
          <w:sz w:val="16"/>
          <w:szCs w:val="16"/>
        </w:rPr>
        <w:t>Proc. Natl. Acad. Sci. USA</w:t>
      </w:r>
      <w:r>
        <w:rPr>
          <w:sz w:val="16"/>
          <w:szCs w:val="16"/>
        </w:rPr>
        <w:t>, vol. 103, no. 23, pp. 8577–8582, Jun. 2006.</w:t>
      </w:r>
    </w:p>
    <w:p w14:paraId="28EF1716" w14:textId="77777777" w:rsidR="003A149E" w:rsidRDefault="00000000">
      <w:pPr>
        <w:numPr>
          <w:ilvl w:val="0"/>
          <w:numId w:val="3"/>
        </w:numPr>
        <w:ind w:hanging="285"/>
        <w:jc w:val="both"/>
      </w:pPr>
      <w:r>
        <w:rPr>
          <w:sz w:val="16"/>
          <w:szCs w:val="16"/>
        </w:rPr>
        <w:t xml:space="preserve">M. Bastian, S. Heymann, and M. Jacomy, “Gephi: An open source software for exploring and manipulating networks,” in </w:t>
      </w:r>
      <w:r>
        <w:rPr>
          <w:i/>
          <w:iCs/>
          <w:sz w:val="16"/>
          <w:szCs w:val="16"/>
        </w:rPr>
        <w:t>Proc. 3rd Int. AAAI Conf. Weblogs and Social Media (ICWSM)</w:t>
      </w:r>
      <w:r>
        <w:rPr>
          <w:sz w:val="16"/>
          <w:szCs w:val="16"/>
        </w:rPr>
        <w:t>, San Jose, CA, USA, 2009, pp. 361–362.</w:t>
      </w:r>
    </w:p>
    <w:p w14:paraId="77557058" w14:textId="77777777" w:rsidR="003A149E" w:rsidRDefault="00000000">
      <w:pPr>
        <w:numPr>
          <w:ilvl w:val="0"/>
          <w:numId w:val="3"/>
        </w:numPr>
        <w:ind w:hanging="285"/>
        <w:jc w:val="both"/>
      </w:pPr>
      <w:r>
        <w:rPr>
          <w:sz w:val="16"/>
          <w:szCs w:val="16"/>
        </w:rPr>
        <w:t xml:space="preserve">M. Bostock, V. Ogievetsky, and J. Heer, “D³: Data-driven documents,” </w:t>
      </w:r>
      <w:r>
        <w:rPr>
          <w:i/>
          <w:iCs/>
          <w:sz w:val="16"/>
          <w:szCs w:val="16"/>
        </w:rPr>
        <w:t>IEEE Trans. Vis. Comput. Graphics</w:t>
      </w:r>
      <w:r>
        <w:rPr>
          <w:sz w:val="16"/>
          <w:szCs w:val="16"/>
        </w:rPr>
        <w:t>, vol. 17, no. 12, pp. 2301–2309, Dec. 2011.</w:t>
      </w:r>
    </w:p>
    <w:p w14:paraId="23C3D981" w14:textId="77777777" w:rsidR="003A149E" w:rsidRDefault="00000000">
      <w:pPr>
        <w:numPr>
          <w:ilvl w:val="0"/>
          <w:numId w:val="3"/>
        </w:numPr>
        <w:ind w:hanging="285"/>
        <w:jc w:val="both"/>
      </w:pPr>
      <w:r>
        <w:rPr>
          <w:sz w:val="16"/>
          <w:szCs w:val="16"/>
        </w:rPr>
        <w:t xml:space="preserve">A. Satyanarayan, D. Moritz, K. Wongsuphasawat, and J. Heer, “Vega-Lite: A grammar of interactive graphics,” </w:t>
      </w:r>
      <w:r>
        <w:rPr>
          <w:i/>
          <w:iCs/>
          <w:sz w:val="16"/>
          <w:szCs w:val="16"/>
        </w:rPr>
        <w:t>IEEE Trans. Vis. Comput. Graphics</w:t>
      </w:r>
      <w:r>
        <w:rPr>
          <w:sz w:val="16"/>
          <w:szCs w:val="16"/>
        </w:rPr>
        <w:t>, vol. 23, no. 1, pp. 341–350, Jan. 2017.</w:t>
      </w:r>
    </w:p>
    <w:p w14:paraId="2B7BF551" w14:textId="77777777" w:rsidR="003A149E" w:rsidRDefault="00000000">
      <w:pPr>
        <w:numPr>
          <w:ilvl w:val="0"/>
          <w:numId w:val="3"/>
        </w:numPr>
        <w:ind w:hanging="285"/>
        <w:jc w:val="both"/>
      </w:pPr>
      <w:r>
        <w:rPr>
          <w:sz w:val="16"/>
          <w:szCs w:val="16"/>
        </w:rPr>
        <w:t xml:space="preserve">M. Krzywinski et al., “Circos: An information aesthetic for comparative genomics,” </w:t>
      </w:r>
      <w:r>
        <w:rPr>
          <w:i/>
          <w:iCs/>
          <w:sz w:val="16"/>
          <w:szCs w:val="16"/>
        </w:rPr>
        <w:t>Genome Res.</w:t>
      </w:r>
      <w:r>
        <w:rPr>
          <w:sz w:val="16"/>
          <w:szCs w:val="16"/>
        </w:rPr>
        <w:t>, vol. 19, no. 9, pp. 1639–1645, Sep. 2009.</w:t>
      </w:r>
    </w:p>
    <w:p w14:paraId="4D7EFAE4" w14:textId="77777777" w:rsidR="003A149E" w:rsidRDefault="00000000">
      <w:pPr>
        <w:numPr>
          <w:ilvl w:val="0"/>
          <w:numId w:val="3"/>
        </w:numPr>
        <w:ind w:hanging="285"/>
        <w:jc w:val="both"/>
      </w:pPr>
      <w:r>
        <w:rPr>
          <w:sz w:val="16"/>
          <w:szCs w:val="16"/>
        </w:rPr>
        <w:t xml:space="preserve">M. Harrower and C. A. Brewer, “ColorBrewer.org: An online tool for selecting colour schemes for maps,” </w:t>
      </w:r>
      <w:r>
        <w:rPr>
          <w:i/>
          <w:iCs/>
          <w:sz w:val="16"/>
          <w:szCs w:val="16"/>
        </w:rPr>
        <w:t>Cartographic J.</w:t>
      </w:r>
      <w:r>
        <w:rPr>
          <w:sz w:val="16"/>
          <w:szCs w:val="16"/>
        </w:rPr>
        <w:t>, vol. 40, no. 1, pp. 27–37, 2003.</w:t>
      </w:r>
    </w:p>
    <w:p w14:paraId="1B6BEE32" w14:textId="77777777" w:rsidR="003A149E" w:rsidRDefault="00000000">
      <w:pPr>
        <w:numPr>
          <w:ilvl w:val="0"/>
          <w:numId w:val="3"/>
        </w:numPr>
        <w:ind w:hanging="285"/>
        <w:jc w:val="both"/>
      </w:pPr>
      <w:r>
        <w:rPr>
          <w:sz w:val="16"/>
          <w:szCs w:val="16"/>
        </w:rPr>
        <w:t>Badan Pusat Statistik, “Tabel Input-Output Indonesia Transaksi Domestik Atas Dasar Harga Dasar (17 Produk), 2020 (juta rupiah),” BPS, Jakarta, Indonesia, [ISI: tahun rilis]. [Online]. Available: https://www.bps.go.id/en/statistics-table/1/MjI2OSMx/tabel-input-output-indonesia-transaksi-domestik-atas-dasar-harga-dasar--17-produk---2020--juta-rupiah-.html. Accessed: [ISI tanggal akses].</w:t>
      </w:r>
    </w:p>
    <w:p w14:paraId="169DC730" w14:textId="77777777" w:rsidR="003A149E" w:rsidRDefault="003A149E">
      <w:pPr>
        <w:pBdr>
          <w:top w:val="nil"/>
          <w:left w:val="nil"/>
          <w:bottom w:val="nil"/>
          <w:right w:val="nil"/>
          <w:between w:val="nil"/>
        </w:pBdr>
        <w:ind w:firstLine="216"/>
        <w:jc w:val="both"/>
        <w:rPr>
          <w:sz w:val="20"/>
          <w:szCs w:val="20"/>
        </w:rPr>
      </w:pPr>
    </w:p>
    <w:sectPr w:rsidR="003A149E">
      <w:type w:val="continuous"/>
      <w:pgSz w:w="11906" w:h="16838"/>
      <w:pgMar w:top="1077" w:right="811" w:bottom="2438" w:left="811" w:header="431" w:footer="431" w:gutter="0"/>
      <w:cols w:num="2" w:space="720" w:equalWidth="0">
        <w:col w:w="5023" w:space="238"/>
        <w:col w:w="502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4268D" w14:textId="77777777" w:rsidR="005B3B0C" w:rsidRDefault="005B3B0C">
      <w:r>
        <w:separator/>
      </w:r>
    </w:p>
  </w:endnote>
  <w:endnote w:type="continuationSeparator" w:id="0">
    <w:p w14:paraId="4AE346D4" w14:textId="77777777" w:rsidR="005B3B0C" w:rsidRDefault="005B3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50179E0-88E6-4B8F-A7E5-1AAA38A19F07}"/>
  </w:font>
  <w:font w:name="Calibri">
    <w:panose1 w:val="020F0502020204030204"/>
    <w:charset w:val="00"/>
    <w:family w:val="swiss"/>
    <w:pitch w:val="variable"/>
    <w:sig w:usb0="E4002EFF" w:usb1="C200247B" w:usb2="00000009" w:usb3="00000000" w:csb0="000001FF" w:csb1="00000000"/>
    <w:embedRegular r:id="rId2" w:fontKey="{3ACAE5BE-1F68-4BF8-B165-B697B846B14C}"/>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roman"/>
    <w:notTrueType/>
    <w:pitch w:val="default"/>
    <w:embedRegular r:id="rId3" w:fontKey="{7C433A6D-401F-413B-B07D-B0B46011B791}"/>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Liberation Sans">
    <w:panose1 w:val="00000000000000000000"/>
    <w:charset w:val="00"/>
    <w:family w:val="roman"/>
    <w:notTrueType/>
    <w:pitch w:val="default"/>
  </w:font>
  <w:font w:name="IPAPGothic">
    <w:panose1 w:val="00000000000000000000"/>
    <w:charset w:val="00"/>
    <w:family w:val="roman"/>
    <w:notTrueType/>
    <w:pitch w:val="default"/>
  </w:font>
  <w:font w:name="FreeSans">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embedRegular r:id="rId4" w:fontKey="{441AD8F0-9F98-4C8D-B11D-BC759AFC76C0}"/>
  </w:font>
  <w:font w:name="Georgia">
    <w:panose1 w:val="02040502050405020303"/>
    <w:charset w:val="00"/>
    <w:family w:val="auto"/>
    <w:pitch w:val="default"/>
    <w:embedItalic r:id="rId5" w:fontKey="{428D25BA-7EB0-4928-BF8C-470F3D60A70A}"/>
  </w:font>
  <w:font w:name="Cambria Math">
    <w:panose1 w:val="02040503050406030204"/>
    <w:charset w:val="00"/>
    <w:family w:val="roman"/>
    <w:pitch w:val="variable"/>
    <w:sig w:usb0="E00006FF" w:usb1="420024FF" w:usb2="02000000" w:usb3="00000000" w:csb0="0000019F" w:csb1="00000000"/>
    <w:embedRegular r:id="rId6" w:fontKey="{132DB58B-1670-46F2-8E40-652DD5937992}"/>
    <w:embedItalic r:id="rId7" w:fontKey="{174BCDB1-9371-49C2-B4B8-628802317D8B}"/>
  </w:font>
  <w:font w:name="Cambria">
    <w:panose1 w:val="02040503050406030204"/>
    <w:charset w:val="00"/>
    <w:family w:val="roman"/>
    <w:pitch w:val="variable"/>
    <w:sig w:usb0="E00006FF" w:usb1="420024FF" w:usb2="02000000" w:usb3="00000000" w:csb0="0000019F" w:csb1="00000000"/>
    <w:embedRegular r:id="rId8" w:fontKey="{1DA8DC8E-6110-4E87-ADCE-57E4478442BC}"/>
  </w:font>
  <w:font w:name="Angsana New">
    <w:panose1 w:val="02020603050405020304"/>
    <w:charset w:val="DE"/>
    <w:family w:val="roman"/>
    <w:pitch w:val="variable"/>
    <w:sig w:usb0="81000003" w:usb1="00000000" w:usb2="00000000" w:usb3="00000000" w:csb0="00010001" w:csb1="00000000"/>
    <w:embedRegular r:id="rId9" w:fontKey="{FE3F8144-5AF3-4F63-9617-598DD45AEF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5430" w14:textId="77777777" w:rsidR="003A149E" w:rsidRDefault="00000000">
    <w:pPr>
      <w:pBdr>
        <w:top w:val="nil"/>
        <w:left w:val="nil"/>
        <w:bottom w:val="nil"/>
        <w:right w:val="nil"/>
        <w:between w:val="nil"/>
      </w:pBdr>
      <w:tabs>
        <w:tab w:val="center" w:pos="4320"/>
        <w:tab w:val="right" w:pos="8640"/>
      </w:tabs>
      <w:jc w:val="right"/>
      <w:rPr>
        <w:sz w:val="20"/>
        <w:szCs w:val="20"/>
      </w:rP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063E90">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063E9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6F739" w14:textId="77777777" w:rsidR="005B3B0C" w:rsidRDefault="005B3B0C">
      <w:r>
        <w:separator/>
      </w:r>
    </w:p>
  </w:footnote>
  <w:footnote w:type="continuationSeparator" w:id="0">
    <w:p w14:paraId="095402F3" w14:textId="77777777" w:rsidR="005B3B0C" w:rsidRDefault="005B3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18B1" w14:textId="77777777" w:rsidR="003A149E" w:rsidRDefault="00000000">
    <w:pPr>
      <w:pBdr>
        <w:top w:val="nil"/>
        <w:left w:val="nil"/>
        <w:bottom w:val="nil"/>
        <w:right w:val="nil"/>
        <w:between w:val="nil"/>
      </w:pBdr>
      <w:tabs>
        <w:tab w:val="center" w:pos="4680"/>
        <w:tab w:val="right" w:pos="9360"/>
        <w:tab w:val="right" w:pos="10200"/>
      </w:tabs>
    </w:pPr>
    <w:r>
      <w:rPr>
        <w:sz w:val="21"/>
        <w:szCs w:val="21"/>
      </w:rPr>
      <w:fldChar w:fldCharType="begin"/>
    </w:r>
    <w:r>
      <w:rPr>
        <w:sz w:val="21"/>
        <w:szCs w:val="21"/>
      </w:rPr>
      <w:instrText>PAGE</w:instrText>
    </w:r>
    <w:r>
      <w:rPr>
        <w:sz w:val="21"/>
        <w:szCs w:val="21"/>
      </w:rPr>
      <w:fldChar w:fldCharType="separate"/>
    </w:r>
    <w:r>
      <w:rPr>
        <w:sz w:val="21"/>
        <w:szCs w:val="21"/>
      </w:rPr>
      <w:fldChar w:fldCharType="end"/>
    </w:r>
    <w:r>
      <w:rPr>
        <w:smallCaps/>
        <w:sz w:val="21"/>
        <w:szCs w:val="21"/>
      </w:rPr>
      <w:t xml:space="preserve"> </w:t>
    </w:r>
    <w:r>
      <w:rPr>
        <w:smallCaps/>
      </w:rPr>
      <w:tab/>
    </w:r>
    <w:r>
      <w:rPr>
        <w:smallCaps/>
      </w:rPr>
      <w:tab/>
      <w:t xml:space="preserve">       </w:t>
    </w:r>
    <w:r>
      <w:rPr>
        <w:smallCaps/>
        <w:sz w:val="16"/>
        <w:szCs w:val="16"/>
      </w:rPr>
      <w:t>Politeknik Statistika STIS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6C0D" w14:textId="77777777" w:rsidR="003A149E" w:rsidRDefault="00000000">
    <w:pPr>
      <w:pBdr>
        <w:top w:val="nil"/>
        <w:left w:val="nil"/>
        <w:bottom w:val="nil"/>
        <w:right w:val="nil"/>
        <w:between w:val="nil"/>
      </w:pBdr>
      <w:tabs>
        <w:tab w:val="center" w:pos="4680"/>
        <w:tab w:val="right" w:pos="9360"/>
        <w:tab w:val="right" w:pos="10206"/>
      </w:tabs>
      <w:jc w:val="right"/>
    </w:pPr>
    <w:r>
      <w:rPr>
        <w:sz w:val="16"/>
        <w:szCs w:val="16"/>
      </w:rPr>
      <w:tab/>
    </w:r>
    <w:r>
      <w:rPr>
        <w:sz w:val="16"/>
        <w:szCs w:val="16"/>
      </w:rPr>
      <w:tab/>
      <w:t>Makalah UAS Visualisasi Data dan Informasi – Program Studi D-IV Komputasi Statistik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741A0"/>
    <w:multiLevelType w:val="multilevel"/>
    <w:tmpl w:val="B7C0E948"/>
    <w:lvl w:ilvl="0">
      <w:numFmt w:val="bullet"/>
      <w:lvlText w:val="-"/>
      <w:lvlJc w:val="left"/>
      <w:pPr>
        <w:ind w:left="300" w:hanging="360"/>
      </w:pPr>
      <w:rPr>
        <w:rFonts w:ascii="Times New Roman" w:eastAsia="Times New Roman" w:hAnsi="Times New Roman" w:cs="Times New Roman"/>
      </w:rPr>
    </w:lvl>
    <w:lvl w:ilvl="1">
      <w:start w:val="1"/>
      <w:numFmt w:val="bullet"/>
      <w:lvlText w:val="o"/>
      <w:lvlJc w:val="left"/>
      <w:pPr>
        <w:ind w:left="1020" w:hanging="360"/>
      </w:pPr>
      <w:rPr>
        <w:rFonts w:ascii="Courier New" w:eastAsia="Courier New" w:hAnsi="Courier New" w:cs="Courier New"/>
      </w:rPr>
    </w:lvl>
    <w:lvl w:ilvl="2">
      <w:start w:val="1"/>
      <w:numFmt w:val="bullet"/>
      <w:lvlText w:val="▪"/>
      <w:lvlJc w:val="left"/>
      <w:pPr>
        <w:ind w:left="1740" w:hanging="360"/>
      </w:pPr>
      <w:rPr>
        <w:rFonts w:ascii="Noto Sans Symbols" w:eastAsia="Noto Sans Symbols" w:hAnsi="Noto Sans Symbols" w:cs="Noto Sans Symbols"/>
      </w:rPr>
    </w:lvl>
    <w:lvl w:ilvl="3">
      <w:start w:val="1"/>
      <w:numFmt w:val="bullet"/>
      <w:lvlText w:val="●"/>
      <w:lvlJc w:val="left"/>
      <w:pPr>
        <w:ind w:left="2460" w:hanging="360"/>
      </w:pPr>
      <w:rPr>
        <w:rFonts w:ascii="Noto Sans Symbols" w:eastAsia="Noto Sans Symbols" w:hAnsi="Noto Sans Symbols" w:cs="Noto Sans Symbols"/>
      </w:rPr>
    </w:lvl>
    <w:lvl w:ilvl="4">
      <w:start w:val="1"/>
      <w:numFmt w:val="bullet"/>
      <w:lvlText w:val="o"/>
      <w:lvlJc w:val="left"/>
      <w:pPr>
        <w:ind w:left="3180" w:hanging="360"/>
      </w:pPr>
      <w:rPr>
        <w:rFonts w:ascii="Courier New" w:eastAsia="Courier New" w:hAnsi="Courier New" w:cs="Courier New"/>
      </w:rPr>
    </w:lvl>
    <w:lvl w:ilvl="5">
      <w:start w:val="1"/>
      <w:numFmt w:val="bullet"/>
      <w:lvlText w:val="▪"/>
      <w:lvlJc w:val="left"/>
      <w:pPr>
        <w:ind w:left="3900" w:hanging="360"/>
      </w:pPr>
      <w:rPr>
        <w:rFonts w:ascii="Noto Sans Symbols" w:eastAsia="Noto Sans Symbols" w:hAnsi="Noto Sans Symbols" w:cs="Noto Sans Symbols"/>
      </w:rPr>
    </w:lvl>
    <w:lvl w:ilvl="6">
      <w:start w:val="1"/>
      <w:numFmt w:val="bullet"/>
      <w:lvlText w:val="●"/>
      <w:lvlJc w:val="left"/>
      <w:pPr>
        <w:ind w:left="4620" w:hanging="360"/>
      </w:pPr>
      <w:rPr>
        <w:rFonts w:ascii="Noto Sans Symbols" w:eastAsia="Noto Sans Symbols" w:hAnsi="Noto Sans Symbols" w:cs="Noto Sans Symbols"/>
      </w:rPr>
    </w:lvl>
    <w:lvl w:ilvl="7">
      <w:start w:val="1"/>
      <w:numFmt w:val="bullet"/>
      <w:lvlText w:val="o"/>
      <w:lvlJc w:val="left"/>
      <w:pPr>
        <w:ind w:left="5340" w:hanging="360"/>
      </w:pPr>
      <w:rPr>
        <w:rFonts w:ascii="Courier New" w:eastAsia="Courier New" w:hAnsi="Courier New" w:cs="Courier New"/>
      </w:rPr>
    </w:lvl>
    <w:lvl w:ilvl="8">
      <w:start w:val="1"/>
      <w:numFmt w:val="bullet"/>
      <w:lvlText w:val="▪"/>
      <w:lvlJc w:val="left"/>
      <w:pPr>
        <w:ind w:left="6060" w:hanging="360"/>
      </w:pPr>
      <w:rPr>
        <w:rFonts w:ascii="Noto Sans Symbols" w:eastAsia="Noto Sans Symbols" w:hAnsi="Noto Sans Symbols" w:cs="Noto Sans Symbols"/>
      </w:rPr>
    </w:lvl>
  </w:abstractNum>
  <w:abstractNum w:abstractNumId="1" w15:restartNumberingAfterBreak="0">
    <w:nsid w:val="22AD6FE3"/>
    <w:multiLevelType w:val="multilevel"/>
    <w:tmpl w:val="51F6B046"/>
    <w:lvl w:ilvl="0">
      <w:start w:val="1"/>
      <w:numFmt w:val="bullet"/>
      <w:lvlText w:val="●"/>
      <w:lvlJc w:val="left"/>
      <w:pPr>
        <w:ind w:left="504" w:hanging="216"/>
      </w:pPr>
      <w:rPr>
        <w:rFonts w:ascii="Noto Sans Symbols" w:eastAsia="Noto Sans Symbols" w:hAnsi="Noto Sans Symbols" w:cs="Noto Sans Symbols"/>
        <w:sz w:val="20"/>
        <w:szCs w:val="20"/>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877CAE"/>
    <w:multiLevelType w:val="multilevel"/>
    <w:tmpl w:val="C5525E56"/>
    <w:lvl w:ilvl="0">
      <w:start w:val="3"/>
      <w:numFmt w:val="upperLetter"/>
      <w:lvlText w:val="%1."/>
      <w:lvlJc w:val="left"/>
      <w:pPr>
        <w:ind w:left="0" w:firstLine="0"/>
      </w:pPr>
      <w:rPr>
        <w:rFonts w:ascii="Calibri" w:eastAsia="Calibri" w:hAnsi="Calibri" w:cs="Calibri"/>
        <w:b w:val="0"/>
        <w:bCs w:val="0"/>
        <w:i w:val="0"/>
        <w:iCs w:val="0"/>
        <w:strike w:val="0"/>
        <w:color w:val="000000"/>
        <w:sz w:val="20"/>
        <w:szCs w:val="20"/>
        <w:u w:val="none"/>
        <w:vertAlign w:val="baseline"/>
      </w:rPr>
    </w:lvl>
    <w:lvl w:ilvl="1">
      <w:start w:val="1"/>
      <w:numFmt w:val="lowerLetter"/>
      <w:lvlText w:val="%2"/>
      <w:lvlJc w:val="left"/>
      <w:pPr>
        <w:ind w:left="1180" w:firstLine="0"/>
      </w:pPr>
      <w:rPr>
        <w:rFonts w:ascii="Calibri" w:eastAsia="Calibri" w:hAnsi="Calibri" w:cs="Calibri"/>
        <w:b w:val="0"/>
        <w:bCs w:val="0"/>
        <w:i w:val="0"/>
        <w:iCs w:val="0"/>
        <w:strike w:val="0"/>
        <w:color w:val="000000"/>
        <w:sz w:val="20"/>
        <w:szCs w:val="20"/>
        <w:u w:val="none"/>
        <w:vertAlign w:val="baseline"/>
      </w:rPr>
    </w:lvl>
    <w:lvl w:ilvl="2">
      <w:start w:val="1"/>
      <w:numFmt w:val="lowerRoman"/>
      <w:lvlText w:val="%3"/>
      <w:lvlJc w:val="left"/>
      <w:pPr>
        <w:ind w:left="1900" w:firstLine="0"/>
      </w:pPr>
      <w:rPr>
        <w:rFonts w:ascii="Calibri" w:eastAsia="Calibri" w:hAnsi="Calibri" w:cs="Calibri"/>
        <w:b w:val="0"/>
        <w:bCs w:val="0"/>
        <w:i w:val="0"/>
        <w:iCs w:val="0"/>
        <w:strike w:val="0"/>
        <w:color w:val="000000"/>
        <w:sz w:val="20"/>
        <w:szCs w:val="20"/>
        <w:u w:val="none"/>
        <w:vertAlign w:val="baseline"/>
      </w:rPr>
    </w:lvl>
    <w:lvl w:ilvl="3">
      <w:start w:val="1"/>
      <w:numFmt w:val="decimal"/>
      <w:lvlText w:val="%4"/>
      <w:lvlJc w:val="left"/>
      <w:pPr>
        <w:ind w:left="2620" w:firstLine="0"/>
      </w:pPr>
      <w:rPr>
        <w:rFonts w:ascii="Calibri" w:eastAsia="Calibri" w:hAnsi="Calibri" w:cs="Calibri"/>
        <w:b w:val="0"/>
        <w:bCs w:val="0"/>
        <w:i w:val="0"/>
        <w:iCs w:val="0"/>
        <w:strike w:val="0"/>
        <w:color w:val="000000"/>
        <w:sz w:val="20"/>
        <w:szCs w:val="20"/>
        <w:u w:val="none"/>
        <w:vertAlign w:val="baseline"/>
      </w:rPr>
    </w:lvl>
    <w:lvl w:ilvl="4">
      <w:start w:val="1"/>
      <w:numFmt w:val="lowerLetter"/>
      <w:lvlText w:val="%5"/>
      <w:lvlJc w:val="left"/>
      <w:pPr>
        <w:ind w:left="3340" w:firstLine="0"/>
      </w:pPr>
      <w:rPr>
        <w:rFonts w:ascii="Calibri" w:eastAsia="Calibri" w:hAnsi="Calibri" w:cs="Calibri"/>
        <w:b w:val="0"/>
        <w:bCs w:val="0"/>
        <w:i w:val="0"/>
        <w:iCs w:val="0"/>
        <w:strike w:val="0"/>
        <w:color w:val="000000"/>
        <w:sz w:val="20"/>
        <w:szCs w:val="20"/>
        <w:u w:val="none"/>
        <w:vertAlign w:val="baseline"/>
      </w:rPr>
    </w:lvl>
    <w:lvl w:ilvl="5">
      <w:start w:val="1"/>
      <w:numFmt w:val="lowerRoman"/>
      <w:lvlText w:val="%6"/>
      <w:lvlJc w:val="left"/>
      <w:pPr>
        <w:ind w:left="4060" w:firstLine="0"/>
      </w:pPr>
      <w:rPr>
        <w:rFonts w:ascii="Calibri" w:eastAsia="Calibri" w:hAnsi="Calibri" w:cs="Calibri"/>
        <w:b w:val="0"/>
        <w:bCs w:val="0"/>
        <w:i w:val="0"/>
        <w:iCs w:val="0"/>
        <w:strike w:val="0"/>
        <w:color w:val="000000"/>
        <w:sz w:val="20"/>
        <w:szCs w:val="20"/>
        <w:u w:val="none"/>
        <w:vertAlign w:val="baseline"/>
      </w:rPr>
    </w:lvl>
    <w:lvl w:ilvl="6">
      <w:start w:val="1"/>
      <w:numFmt w:val="decimal"/>
      <w:lvlText w:val="%7"/>
      <w:lvlJc w:val="left"/>
      <w:pPr>
        <w:ind w:left="4780" w:firstLine="0"/>
      </w:pPr>
      <w:rPr>
        <w:rFonts w:ascii="Calibri" w:eastAsia="Calibri" w:hAnsi="Calibri" w:cs="Calibri"/>
        <w:b w:val="0"/>
        <w:bCs w:val="0"/>
        <w:i w:val="0"/>
        <w:iCs w:val="0"/>
        <w:strike w:val="0"/>
        <w:color w:val="000000"/>
        <w:sz w:val="20"/>
        <w:szCs w:val="20"/>
        <w:u w:val="none"/>
        <w:vertAlign w:val="baseline"/>
      </w:rPr>
    </w:lvl>
    <w:lvl w:ilvl="7">
      <w:start w:val="1"/>
      <w:numFmt w:val="lowerLetter"/>
      <w:lvlText w:val="%8"/>
      <w:lvlJc w:val="left"/>
      <w:pPr>
        <w:ind w:left="5500" w:firstLine="0"/>
      </w:pPr>
      <w:rPr>
        <w:rFonts w:ascii="Calibri" w:eastAsia="Calibri" w:hAnsi="Calibri" w:cs="Calibri"/>
        <w:b w:val="0"/>
        <w:bCs w:val="0"/>
        <w:i w:val="0"/>
        <w:iCs w:val="0"/>
        <w:strike w:val="0"/>
        <w:color w:val="000000"/>
        <w:sz w:val="20"/>
        <w:szCs w:val="20"/>
        <w:u w:val="none"/>
        <w:vertAlign w:val="baseline"/>
      </w:rPr>
    </w:lvl>
    <w:lvl w:ilvl="8">
      <w:start w:val="1"/>
      <w:numFmt w:val="lowerRoman"/>
      <w:lvlText w:val="%9"/>
      <w:lvlJc w:val="left"/>
      <w:pPr>
        <w:ind w:left="6220" w:firstLine="0"/>
      </w:pPr>
      <w:rPr>
        <w:rFonts w:ascii="Calibri" w:eastAsia="Calibri" w:hAnsi="Calibri" w:cs="Calibri"/>
        <w:b w:val="0"/>
        <w:bCs w:val="0"/>
        <w:i w:val="0"/>
        <w:iCs w:val="0"/>
        <w:strike w:val="0"/>
        <w:color w:val="000000"/>
        <w:sz w:val="20"/>
        <w:szCs w:val="20"/>
        <w:u w:val="none"/>
        <w:vertAlign w:val="baseline"/>
      </w:rPr>
    </w:lvl>
  </w:abstractNum>
  <w:abstractNum w:abstractNumId="3" w15:restartNumberingAfterBreak="0">
    <w:nsid w:val="358D1E50"/>
    <w:multiLevelType w:val="multilevel"/>
    <w:tmpl w:val="1286DFBC"/>
    <w:lvl w:ilvl="0">
      <w:start w:val="1"/>
      <w:numFmt w:val="decimal"/>
      <w:lvlText w:val="[%1]"/>
      <w:lvlJc w:val="left"/>
      <w:pPr>
        <w:ind w:left="285" w:firstLine="0"/>
      </w:pPr>
      <w:rPr>
        <w:rFonts w:ascii="Calibri" w:eastAsia="Calibri" w:hAnsi="Calibri" w:cs="Calibri"/>
        <w:b w:val="0"/>
        <w:bCs w:val="0"/>
        <w:i w:val="0"/>
        <w:iCs w:val="0"/>
        <w:strike w:val="0"/>
        <w:color w:val="000000"/>
        <w:sz w:val="16"/>
        <w:szCs w:val="16"/>
        <w:u w:val="none"/>
        <w:vertAlign w:val="baseline"/>
      </w:rPr>
    </w:lvl>
    <w:lvl w:ilvl="1">
      <w:start w:val="1"/>
      <w:numFmt w:val="lowerLetter"/>
      <w:lvlText w:val="%2"/>
      <w:lvlJc w:val="left"/>
      <w:pPr>
        <w:ind w:left="1080" w:firstLine="0"/>
      </w:pPr>
      <w:rPr>
        <w:rFonts w:ascii="Calibri" w:eastAsia="Calibri" w:hAnsi="Calibri" w:cs="Calibri"/>
        <w:b w:val="0"/>
        <w:bCs w:val="0"/>
        <w:i w:val="0"/>
        <w:iCs w:val="0"/>
        <w:strike w:val="0"/>
        <w:color w:val="000000"/>
        <w:sz w:val="16"/>
        <w:szCs w:val="16"/>
        <w:u w:val="none"/>
        <w:vertAlign w:val="baseline"/>
      </w:rPr>
    </w:lvl>
    <w:lvl w:ilvl="2">
      <w:start w:val="1"/>
      <w:numFmt w:val="lowerRoman"/>
      <w:lvlText w:val="%3"/>
      <w:lvlJc w:val="left"/>
      <w:pPr>
        <w:ind w:left="1800" w:firstLine="0"/>
      </w:pPr>
      <w:rPr>
        <w:rFonts w:ascii="Calibri" w:eastAsia="Calibri" w:hAnsi="Calibri" w:cs="Calibri"/>
        <w:b w:val="0"/>
        <w:bCs w:val="0"/>
        <w:i w:val="0"/>
        <w:iCs w:val="0"/>
        <w:strike w:val="0"/>
        <w:color w:val="000000"/>
        <w:sz w:val="16"/>
        <w:szCs w:val="16"/>
        <w:u w:val="none"/>
        <w:vertAlign w:val="baseline"/>
      </w:rPr>
    </w:lvl>
    <w:lvl w:ilvl="3">
      <w:start w:val="1"/>
      <w:numFmt w:val="decimal"/>
      <w:lvlText w:val="%4"/>
      <w:lvlJc w:val="left"/>
      <w:pPr>
        <w:ind w:left="2520" w:firstLine="0"/>
      </w:pPr>
      <w:rPr>
        <w:rFonts w:ascii="Calibri" w:eastAsia="Calibri" w:hAnsi="Calibri" w:cs="Calibri"/>
        <w:b w:val="0"/>
        <w:bCs w:val="0"/>
        <w:i w:val="0"/>
        <w:iCs w:val="0"/>
        <w:strike w:val="0"/>
        <w:color w:val="000000"/>
        <w:sz w:val="16"/>
        <w:szCs w:val="16"/>
        <w:u w:val="none"/>
        <w:vertAlign w:val="baseline"/>
      </w:rPr>
    </w:lvl>
    <w:lvl w:ilvl="4">
      <w:start w:val="1"/>
      <w:numFmt w:val="lowerLetter"/>
      <w:lvlText w:val="%5"/>
      <w:lvlJc w:val="left"/>
      <w:pPr>
        <w:ind w:left="3240" w:firstLine="0"/>
      </w:pPr>
      <w:rPr>
        <w:rFonts w:ascii="Calibri" w:eastAsia="Calibri" w:hAnsi="Calibri" w:cs="Calibri"/>
        <w:b w:val="0"/>
        <w:bCs w:val="0"/>
        <w:i w:val="0"/>
        <w:iCs w:val="0"/>
        <w:strike w:val="0"/>
        <w:color w:val="000000"/>
        <w:sz w:val="16"/>
        <w:szCs w:val="16"/>
        <w:u w:val="none"/>
        <w:vertAlign w:val="baseline"/>
      </w:rPr>
    </w:lvl>
    <w:lvl w:ilvl="5">
      <w:start w:val="1"/>
      <w:numFmt w:val="lowerRoman"/>
      <w:lvlText w:val="%6"/>
      <w:lvlJc w:val="left"/>
      <w:pPr>
        <w:ind w:left="3960" w:firstLine="0"/>
      </w:pPr>
      <w:rPr>
        <w:rFonts w:ascii="Calibri" w:eastAsia="Calibri" w:hAnsi="Calibri" w:cs="Calibri"/>
        <w:b w:val="0"/>
        <w:bCs w:val="0"/>
        <w:i w:val="0"/>
        <w:iCs w:val="0"/>
        <w:strike w:val="0"/>
        <w:color w:val="000000"/>
        <w:sz w:val="16"/>
        <w:szCs w:val="16"/>
        <w:u w:val="none"/>
        <w:vertAlign w:val="baseline"/>
      </w:rPr>
    </w:lvl>
    <w:lvl w:ilvl="6">
      <w:start w:val="1"/>
      <w:numFmt w:val="decimal"/>
      <w:lvlText w:val="%7"/>
      <w:lvlJc w:val="left"/>
      <w:pPr>
        <w:ind w:left="4680" w:firstLine="0"/>
      </w:pPr>
      <w:rPr>
        <w:rFonts w:ascii="Calibri" w:eastAsia="Calibri" w:hAnsi="Calibri" w:cs="Calibri"/>
        <w:b w:val="0"/>
        <w:bCs w:val="0"/>
        <w:i w:val="0"/>
        <w:iCs w:val="0"/>
        <w:strike w:val="0"/>
        <w:color w:val="000000"/>
        <w:sz w:val="16"/>
        <w:szCs w:val="16"/>
        <w:u w:val="none"/>
        <w:vertAlign w:val="baseline"/>
      </w:rPr>
    </w:lvl>
    <w:lvl w:ilvl="7">
      <w:start w:val="1"/>
      <w:numFmt w:val="lowerLetter"/>
      <w:lvlText w:val="%8"/>
      <w:lvlJc w:val="left"/>
      <w:pPr>
        <w:ind w:left="5400" w:firstLine="0"/>
      </w:pPr>
      <w:rPr>
        <w:rFonts w:ascii="Calibri" w:eastAsia="Calibri" w:hAnsi="Calibri" w:cs="Calibri"/>
        <w:b w:val="0"/>
        <w:bCs w:val="0"/>
        <w:i w:val="0"/>
        <w:iCs w:val="0"/>
        <w:strike w:val="0"/>
        <w:color w:val="000000"/>
        <w:sz w:val="16"/>
        <w:szCs w:val="16"/>
        <w:u w:val="none"/>
        <w:vertAlign w:val="baseline"/>
      </w:rPr>
    </w:lvl>
    <w:lvl w:ilvl="8">
      <w:start w:val="1"/>
      <w:numFmt w:val="lowerRoman"/>
      <w:lvlText w:val="%9"/>
      <w:lvlJc w:val="left"/>
      <w:pPr>
        <w:ind w:left="6120" w:firstLine="0"/>
      </w:pPr>
      <w:rPr>
        <w:rFonts w:ascii="Calibri" w:eastAsia="Calibri" w:hAnsi="Calibri" w:cs="Calibri"/>
        <w:b w:val="0"/>
        <w:bCs w:val="0"/>
        <w:i w:val="0"/>
        <w:iCs w:val="0"/>
        <w:strike w:val="0"/>
        <w:color w:val="000000"/>
        <w:sz w:val="16"/>
        <w:szCs w:val="16"/>
        <w:u w:val="none"/>
        <w:vertAlign w:val="baseline"/>
      </w:rPr>
    </w:lvl>
  </w:abstractNum>
  <w:abstractNum w:abstractNumId="4" w15:restartNumberingAfterBreak="0">
    <w:nsid w:val="43A376A9"/>
    <w:multiLevelType w:val="multilevel"/>
    <w:tmpl w:val="BAEC9486"/>
    <w:lvl w:ilvl="0">
      <w:start w:val="1"/>
      <w:numFmt w:val="upperLetter"/>
      <w:lvlText w:val="%1."/>
      <w:lvlJc w:val="left"/>
      <w:pPr>
        <w:ind w:left="288" w:hanging="288"/>
      </w:pPr>
      <w:rPr>
        <w:b w:val="0"/>
        <w:bCs w:val="0"/>
        <w:i/>
        <w:iCs/>
        <w:strike w:val="0"/>
        <w:color w:val="000000"/>
        <w:sz w:val="20"/>
        <w:szCs w:val="20"/>
        <w:u w:val="none"/>
        <w:vertAlign w:val="baseline"/>
      </w:rPr>
    </w:lvl>
    <w:lvl w:ilvl="1">
      <w:start w:val="1"/>
      <w:numFmt w:val="upperLetter"/>
      <w:lvlText w:val="%2."/>
      <w:lvlJc w:val="left"/>
      <w:pPr>
        <w:ind w:left="288" w:hanging="288"/>
      </w:pPr>
      <w:rPr>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F7F11E5"/>
    <w:multiLevelType w:val="multilevel"/>
    <w:tmpl w:val="56AA2DF4"/>
    <w:lvl w:ilvl="0">
      <w:start w:val="1"/>
      <w:numFmt w:val="upperRoman"/>
      <w:lvlText w:val="%1."/>
      <w:lvlJc w:val="left"/>
      <w:pPr>
        <w:ind w:left="288" w:hanging="288"/>
      </w:pPr>
      <w:rPr>
        <w:b w:val="0"/>
        <w:bCs w:val="0"/>
        <w:i w:val="0"/>
        <w:iCs w:val="0"/>
        <w:strike w:val="0"/>
        <w:color w:val="000000"/>
        <w:sz w:val="20"/>
        <w:szCs w:val="20"/>
        <w:u w:val="none"/>
        <w:vertAlign w:val="baseline"/>
      </w:rPr>
    </w:lvl>
    <w:lvl w:ilvl="1">
      <w:start w:val="1"/>
      <w:numFmt w:val="upperLetter"/>
      <w:lvlText w:val="%2."/>
      <w:lvlJc w:val="left"/>
      <w:pPr>
        <w:ind w:left="288" w:hanging="288"/>
      </w:pPr>
      <w:rPr>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28890557">
    <w:abstractNumId w:val="4"/>
  </w:num>
  <w:num w:numId="2" w16cid:durableId="1903563868">
    <w:abstractNumId w:val="2"/>
  </w:num>
  <w:num w:numId="3" w16cid:durableId="287862776">
    <w:abstractNumId w:val="3"/>
  </w:num>
  <w:num w:numId="4" w16cid:durableId="802239339">
    <w:abstractNumId w:val="0"/>
  </w:num>
  <w:num w:numId="5" w16cid:durableId="763040896">
    <w:abstractNumId w:val="1"/>
  </w:num>
  <w:num w:numId="6" w16cid:durableId="824778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49E"/>
    <w:rsid w:val="00063E90"/>
    <w:rsid w:val="003A149E"/>
    <w:rsid w:val="005B3B0C"/>
    <w:rsid w:val="00B95BA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674ABC47"/>
  <w15:docId w15:val="{E2251ADF-A96B-4865-A921-CC3B6F96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en-AU"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left="3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IEEEAbstractHeadingChar">
    <w:name w:val="IEEE Abstract Heading Char"/>
    <w:link w:val="IEEEAbstractHeading"/>
    <w:qFormat/>
    <w:rsid w:val="00D41274"/>
    <w:rPr>
      <w:rFonts w:eastAsia="SimSun"/>
      <w:b/>
      <w:i/>
      <w:sz w:val="18"/>
      <w:szCs w:val="24"/>
      <w:lang w:val="en-GB" w:eastAsia="en-GB" w:bidi="ar-SA"/>
    </w:rPr>
  </w:style>
  <w:style w:type="character" w:customStyle="1" w:styleId="IEEEAbtractChar">
    <w:name w:val="IEEE Abtract Char"/>
    <w:link w:val="IEEEAbtract"/>
    <w:qFormat/>
    <w:rsid w:val="00D41274"/>
    <w:rPr>
      <w:rFonts w:eastAsia="SimSun"/>
      <w:b/>
      <w:sz w:val="18"/>
      <w:szCs w:val="24"/>
      <w:lang w:val="en-GB" w:eastAsia="en-GB" w:bidi="ar-SA"/>
    </w:rPr>
  </w:style>
  <w:style w:type="character" w:customStyle="1" w:styleId="IEEEParagraphChar">
    <w:name w:val="IEEE Paragraph Char"/>
    <w:link w:val="IEEEParagraph"/>
    <w:qFormat/>
    <w:rsid w:val="004A6605"/>
    <w:rPr>
      <w:rFonts w:eastAsia="SimSun"/>
      <w:sz w:val="24"/>
      <w:szCs w:val="24"/>
      <w:lang w:val="en-AU" w:eastAsia="zh-CN" w:bidi="ar-SA"/>
    </w:rPr>
  </w:style>
  <w:style w:type="character" w:customStyle="1" w:styleId="IEEEHeading3Char">
    <w:name w:val="IEEE Heading 3 Char"/>
    <w:link w:val="IEEEHeading3"/>
    <w:qFormat/>
    <w:rsid w:val="00321304"/>
    <w:rPr>
      <w:i/>
      <w:szCs w:val="24"/>
      <w:lang w:val="en-AU" w:eastAsia="zh-CN"/>
    </w:rPr>
  </w:style>
  <w:style w:type="character" w:customStyle="1" w:styleId="shorttext">
    <w:name w:val="short_text"/>
    <w:basedOn w:val="DefaultParagraphFont"/>
    <w:qFormat/>
    <w:rsid w:val="00140FB9"/>
  </w:style>
  <w:style w:type="character" w:customStyle="1" w:styleId="longtext">
    <w:name w:val="long_text"/>
    <w:basedOn w:val="DefaultParagraphFont"/>
    <w:qFormat/>
    <w:rsid w:val="00140FB9"/>
  </w:style>
  <w:style w:type="character" w:customStyle="1" w:styleId="mediumtext">
    <w:name w:val="medium_text"/>
    <w:basedOn w:val="DefaultParagraphFont"/>
    <w:qFormat/>
    <w:rsid w:val="004B7F34"/>
  </w:style>
  <w:style w:type="character" w:customStyle="1" w:styleId="InternetLink">
    <w:name w:val="Internet Link"/>
    <w:rsid w:val="008A1519"/>
    <w:rPr>
      <w:color w:val="0000FF"/>
      <w:u w:val="single"/>
    </w:rPr>
  </w:style>
  <w:style w:type="character" w:customStyle="1" w:styleId="FootnoteTextChar">
    <w:name w:val="Footnote Text Char"/>
    <w:link w:val="FootnoteText"/>
    <w:semiHidden/>
    <w:qFormat/>
    <w:rsid w:val="00EB2163"/>
    <w:rPr>
      <w:rFonts w:eastAsia="Times New Roman"/>
      <w:sz w:val="16"/>
      <w:szCs w:val="16"/>
    </w:rPr>
  </w:style>
  <w:style w:type="character" w:customStyle="1" w:styleId="FooterChar">
    <w:name w:val="Footer Char"/>
    <w:link w:val="Footer"/>
    <w:uiPriority w:val="99"/>
    <w:qFormat/>
    <w:rsid w:val="00EB2163"/>
    <w:rPr>
      <w:rFonts w:eastAsia="Times New Roman"/>
    </w:rPr>
  </w:style>
  <w:style w:type="character" w:customStyle="1" w:styleId="HeaderChar">
    <w:name w:val="Header Char"/>
    <w:link w:val="Header"/>
    <w:uiPriority w:val="99"/>
    <w:qFormat/>
    <w:rsid w:val="00A1414F"/>
    <w:rPr>
      <w:sz w:val="24"/>
      <w:szCs w:val="24"/>
      <w:lang w:val="en-AU" w:eastAsia="zh-CN"/>
    </w:rPr>
  </w:style>
  <w:style w:type="character" w:customStyle="1" w:styleId="BalloonTextChar">
    <w:name w:val="Balloon Text Char"/>
    <w:link w:val="BalloonText"/>
    <w:uiPriority w:val="99"/>
    <w:semiHidden/>
    <w:qFormat/>
    <w:rsid w:val="00A1414F"/>
    <w:rPr>
      <w:rFonts w:ascii="Tahoma" w:hAnsi="Tahoma" w:cs="Tahoma"/>
      <w:sz w:val="16"/>
      <w:szCs w:val="16"/>
      <w:lang w:val="en-AU" w:eastAsia="zh-CN"/>
    </w:rPr>
  </w:style>
  <w:style w:type="character" w:customStyle="1" w:styleId="ListLabel1">
    <w:name w:val="ListLabel 1"/>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
    <w:name w:val="ListLabel 2"/>
    <w:qFormat/>
    <w:rsid w:val="0037751A"/>
    <w:rPr>
      <w:b w:val="0"/>
      <w:i w:val="0"/>
      <w:sz w:val="20"/>
    </w:rPr>
  </w:style>
  <w:style w:type="character" w:customStyle="1" w:styleId="ListLabel3">
    <w:name w:val="ListLabel 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qFormat/>
    <w:rsid w:val="0037751A"/>
    <w:rPr>
      <w:b w:val="0"/>
      <w:i w:val="0"/>
      <w:sz w:val="20"/>
    </w:rPr>
  </w:style>
  <w:style w:type="character" w:customStyle="1" w:styleId="ListLabel5">
    <w:name w:val="ListLabel 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
    <w:name w:val="ListLabel 6"/>
    <w:qFormat/>
    <w:rsid w:val="0037751A"/>
    <w:rPr>
      <w:b w:val="0"/>
      <w:i w:val="0"/>
      <w:sz w:val="20"/>
    </w:rPr>
  </w:style>
  <w:style w:type="character" w:customStyle="1" w:styleId="ListLabel7">
    <w:name w:val="ListLabel 7"/>
    <w:qFormat/>
    <w:rsid w:val="0037751A"/>
    <w:rPr>
      <w:rFonts w:cs="Times New Roman"/>
      <w:sz w:val="16"/>
      <w:szCs w:val="16"/>
    </w:rPr>
  </w:style>
  <w:style w:type="character" w:customStyle="1" w:styleId="ListLabel8">
    <w:name w:val="ListLabel 8"/>
    <w:qFormat/>
    <w:rsid w:val="0037751A"/>
    <w:rPr>
      <w:rFonts w:eastAsia="SimSun"/>
      <w:sz w:val="16"/>
      <w:szCs w:val="24"/>
    </w:rPr>
  </w:style>
  <w:style w:type="character" w:customStyle="1" w:styleId="ListLabel9">
    <w:name w:val="ListLabel 9"/>
    <w:qFormat/>
    <w:rsid w:val="0037751A"/>
    <w:rPr>
      <w:rFonts w:cs="Times New Roman"/>
      <w:sz w:val="20"/>
      <w:szCs w:val="16"/>
    </w:rPr>
  </w:style>
  <w:style w:type="character" w:customStyle="1" w:styleId="ListLabel10">
    <w:name w:val="ListLabel 10"/>
    <w:qFormat/>
    <w:rsid w:val="0037751A"/>
    <w:rPr>
      <w:rFonts w:eastAsia="SimSun"/>
      <w:sz w:val="16"/>
      <w:szCs w:val="24"/>
    </w:rPr>
  </w:style>
  <w:style w:type="character" w:customStyle="1" w:styleId="ListLabel11">
    <w:name w:val="ListLabel 1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2">
    <w:name w:val="ListLabel 12"/>
    <w:qFormat/>
    <w:rsid w:val="0037751A"/>
    <w:rPr>
      <w:b w:val="0"/>
      <w:i w:val="0"/>
      <w:sz w:val="20"/>
    </w:rPr>
  </w:style>
  <w:style w:type="character" w:customStyle="1" w:styleId="ListLabel13">
    <w:name w:val="ListLabel 1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4">
    <w:name w:val="ListLabel 14"/>
    <w:qFormat/>
    <w:rsid w:val="0037751A"/>
    <w:rPr>
      <w:b w:val="0"/>
      <w:i w:val="0"/>
      <w:sz w:val="20"/>
    </w:rPr>
  </w:style>
  <w:style w:type="character" w:customStyle="1" w:styleId="ListLabel15">
    <w:name w:val="ListLabel 1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6">
    <w:name w:val="ListLabel 16"/>
    <w:qFormat/>
    <w:rsid w:val="0037751A"/>
    <w:rPr>
      <w:b w:val="0"/>
      <w:i w:val="0"/>
      <w:sz w:val="20"/>
    </w:rPr>
  </w:style>
  <w:style w:type="character" w:customStyle="1" w:styleId="ListLabel17">
    <w:name w:val="ListLabel 17"/>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8">
    <w:name w:val="ListLabel 18"/>
    <w:qFormat/>
    <w:rsid w:val="0037751A"/>
    <w:rPr>
      <w:b w:val="0"/>
      <w:i w:val="0"/>
      <w:sz w:val="20"/>
    </w:rPr>
  </w:style>
  <w:style w:type="character" w:customStyle="1" w:styleId="ListLabel19">
    <w:name w:val="ListLabel 19"/>
    <w:qFormat/>
    <w:rsid w:val="0037751A"/>
    <w:rPr>
      <w:rFonts w:cs="Times New Roman"/>
      <w:sz w:val="20"/>
      <w:szCs w:val="16"/>
    </w:rPr>
  </w:style>
  <w:style w:type="character" w:customStyle="1" w:styleId="ListLabel20">
    <w:name w:val="ListLabel 20"/>
    <w:qFormat/>
    <w:rsid w:val="0037751A"/>
    <w:rPr>
      <w:rFonts w:cs="Symbol"/>
      <w:sz w:val="16"/>
      <w:szCs w:val="24"/>
    </w:rPr>
  </w:style>
  <w:style w:type="character" w:customStyle="1" w:styleId="ListLabel21">
    <w:name w:val="ListLabel 2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2">
    <w:name w:val="ListLabel 22"/>
    <w:qFormat/>
    <w:rsid w:val="0037751A"/>
    <w:rPr>
      <w:b w:val="0"/>
      <w:i w:val="0"/>
      <w:sz w:val="20"/>
    </w:rPr>
  </w:style>
  <w:style w:type="character" w:customStyle="1" w:styleId="ListLabel23">
    <w:name w:val="ListLabel 2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4">
    <w:name w:val="ListLabel 24"/>
    <w:qFormat/>
    <w:rsid w:val="0037751A"/>
    <w:rPr>
      <w:b w:val="0"/>
      <w:i w:val="0"/>
      <w:sz w:val="20"/>
    </w:rPr>
  </w:style>
  <w:style w:type="character" w:customStyle="1" w:styleId="ListLabel25">
    <w:name w:val="ListLabel 2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6">
    <w:name w:val="ListLabel 26"/>
    <w:qFormat/>
    <w:rsid w:val="0037751A"/>
    <w:rPr>
      <w:b w:val="0"/>
      <w:i w:val="0"/>
      <w:sz w:val="20"/>
    </w:rPr>
  </w:style>
  <w:style w:type="character" w:customStyle="1" w:styleId="ListLabel27">
    <w:name w:val="ListLabel 27"/>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8">
    <w:name w:val="ListLabel 28"/>
    <w:qFormat/>
    <w:rsid w:val="0037751A"/>
    <w:rPr>
      <w:b w:val="0"/>
      <w:i w:val="0"/>
      <w:sz w:val="20"/>
    </w:rPr>
  </w:style>
  <w:style w:type="character" w:customStyle="1" w:styleId="ListLabel29">
    <w:name w:val="ListLabel 29"/>
    <w:qFormat/>
    <w:rsid w:val="0037751A"/>
    <w:rPr>
      <w:rFonts w:cs="Times New Roman"/>
      <w:sz w:val="20"/>
      <w:szCs w:val="16"/>
    </w:rPr>
  </w:style>
  <w:style w:type="character" w:customStyle="1" w:styleId="ListLabel30">
    <w:name w:val="ListLabel 30"/>
    <w:qFormat/>
    <w:rsid w:val="0037751A"/>
    <w:rPr>
      <w:rFonts w:cs="Symbol"/>
      <w:sz w:val="16"/>
      <w:szCs w:val="24"/>
    </w:rPr>
  </w:style>
  <w:style w:type="character" w:customStyle="1" w:styleId="ListLabel31">
    <w:name w:val="ListLabel 3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2">
    <w:name w:val="ListLabel 32"/>
    <w:qFormat/>
    <w:rsid w:val="0037751A"/>
    <w:rPr>
      <w:b w:val="0"/>
      <w:i w:val="0"/>
      <w:sz w:val="20"/>
    </w:rPr>
  </w:style>
  <w:style w:type="paragraph" w:customStyle="1" w:styleId="Heading">
    <w:name w:val="Heading"/>
    <w:basedOn w:val="Normal"/>
    <w:next w:val="BodyText"/>
    <w:qFormat/>
    <w:rsid w:val="0037751A"/>
    <w:pPr>
      <w:keepNext/>
      <w:spacing w:before="240" w:after="120"/>
    </w:pPr>
    <w:rPr>
      <w:rFonts w:ascii="Liberation Sans" w:eastAsia="IPAPGothic" w:hAnsi="Liberation Sans" w:cs="FreeSans"/>
      <w:sz w:val="28"/>
      <w:szCs w:val="28"/>
    </w:rPr>
  </w:style>
  <w:style w:type="paragraph" w:styleId="BodyText">
    <w:name w:val="Body Text"/>
    <w:basedOn w:val="Normal"/>
    <w:rsid w:val="0037751A"/>
    <w:pPr>
      <w:spacing w:after="140" w:line="288" w:lineRule="auto"/>
    </w:pPr>
  </w:style>
  <w:style w:type="paragraph" w:styleId="List">
    <w:name w:val="List"/>
    <w:basedOn w:val="BodyText"/>
    <w:rsid w:val="0037751A"/>
    <w:rPr>
      <w:rFonts w:cs="FreeSans"/>
    </w:rPr>
  </w:style>
  <w:style w:type="paragraph" w:styleId="Caption">
    <w:name w:val="caption"/>
    <w:basedOn w:val="Normal"/>
    <w:next w:val="Normal"/>
    <w:qFormat/>
    <w:rsid w:val="00A45FCE"/>
    <w:pPr>
      <w:spacing w:before="120" w:after="120"/>
    </w:pPr>
    <w:rPr>
      <w:b/>
      <w:bCs/>
      <w:sz w:val="20"/>
      <w:szCs w:val="20"/>
    </w:rPr>
  </w:style>
  <w:style w:type="paragraph" w:customStyle="1" w:styleId="Index">
    <w:name w:val="Index"/>
    <w:basedOn w:val="Normal"/>
    <w:qFormat/>
    <w:rsid w:val="0037751A"/>
    <w:pPr>
      <w:suppressLineNumbers/>
    </w:pPr>
    <w:rPr>
      <w:rFonts w:cs="FreeSans"/>
    </w:rPr>
  </w:style>
  <w:style w:type="paragraph" w:customStyle="1" w:styleId="IEEEAuthorName">
    <w:name w:val="IEEE Author Name"/>
    <w:basedOn w:val="Normal"/>
    <w:next w:val="Normal"/>
    <w:qFormat/>
    <w:rsid w:val="00081EBE"/>
    <w:pPr>
      <w:snapToGrid w:val="0"/>
      <w:spacing w:before="120" w:after="120"/>
      <w:jc w:val="center"/>
    </w:pPr>
    <w:rPr>
      <w:sz w:val="22"/>
      <w:lang w:val="en-GB" w:eastAsia="en-GB"/>
    </w:rPr>
  </w:style>
  <w:style w:type="paragraph" w:customStyle="1" w:styleId="IEEEAuthorAffiliation">
    <w:name w:val="IEEE Author Affiliation"/>
    <w:basedOn w:val="Normal"/>
    <w:next w:val="Normal"/>
    <w:qFormat/>
    <w:rsid w:val="00081EBE"/>
    <w:pPr>
      <w:spacing w:after="60"/>
      <w:jc w:val="center"/>
    </w:pPr>
    <w:rPr>
      <w:i/>
      <w:sz w:val="20"/>
      <w:lang w:val="en-GB" w:eastAsia="en-GB"/>
    </w:rPr>
  </w:style>
  <w:style w:type="paragraph" w:customStyle="1" w:styleId="IEEEHeading2">
    <w:name w:val="IEEE Heading 2"/>
    <w:basedOn w:val="Normal"/>
    <w:qFormat/>
    <w:rsid w:val="00273D2C"/>
    <w:pPr>
      <w:snapToGrid w:val="0"/>
      <w:spacing w:before="150" w:after="60"/>
    </w:pPr>
    <w:rPr>
      <w:i/>
      <w:sz w:val="20"/>
    </w:rPr>
  </w:style>
  <w:style w:type="paragraph" w:customStyle="1" w:styleId="IEEEAuthorEmail">
    <w:name w:val="IEEE Author Email"/>
    <w:qFormat/>
    <w:rsid w:val="00081EBE"/>
    <w:pPr>
      <w:spacing w:after="60"/>
      <w:jc w:val="center"/>
    </w:pPr>
    <w:rPr>
      <w:rFonts w:ascii="Courier" w:hAnsi="Courier"/>
      <w:sz w:val="18"/>
      <w:lang w:val="en-GB" w:eastAsia="en-GB"/>
    </w:rPr>
  </w:style>
  <w:style w:type="paragraph" w:customStyle="1" w:styleId="IEEEAbstractHeading">
    <w:name w:val="IEEE Abstract Heading"/>
    <w:link w:val="IEEEAbstractHeadingChar"/>
    <w:qFormat/>
    <w:rsid w:val="00D41274"/>
    <w:pPr>
      <w:widowControl w:val="0"/>
    </w:pPr>
    <w:rPr>
      <w:i/>
    </w:rPr>
  </w:style>
  <w:style w:type="paragraph" w:customStyle="1" w:styleId="IEEEAbtract">
    <w:name w:val="IEEE Abtract"/>
    <w:basedOn w:val="Normal"/>
    <w:next w:val="Normal"/>
    <w:link w:val="IEEEAbtractChar"/>
    <w:qFormat/>
    <w:rsid w:val="00D41274"/>
    <w:pPr>
      <w:snapToGrid w:val="0"/>
      <w:jc w:val="both"/>
    </w:pPr>
    <w:rPr>
      <w:b/>
      <w:sz w:val="18"/>
      <w:lang w:val="en-GB" w:eastAsia="en-GB"/>
    </w:rPr>
  </w:style>
  <w:style w:type="paragraph" w:customStyle="1" w:styleId="IEEEParagraph">
    <w:name w:val="IEEE Paragraph"/>
    <w:basedOn w:val="Normal"/>
    <w:link w:val="IEEEParagraphChar"/>
    <w:qFormat/>
    <w:rsid w:val="004A6605"/>
    <w:pPr>
      <w:snapToGrid w:val="0"/>
      <w:ind w:firstLine="216"/>
      <w:jc w:val="both"/>
    </w:pPr>
  </w:style>
  <w:style w:type="paragraph" w:customStyle="1" w:styleId="IEEEHeading1">
    <w:name w:val="IEEE Heading 1"/>
    <w:basedOn w:val="Normal"/>
    <w:qFormat/>
    <w:rsid w:val="00273D2C"/>
    <w:pPr>
      <w:snapToGrid w:val="0"/>
      <w:spacing w:before="180" w:after="60"/>
      <w:ind w:left="289" w:hanging="289"/>
      <w:jc w:val="center"/>
    </w:pPr>
    <w:rPr>
      <w:smallCaps/>
      <w:sz w:val="20"/>
    </w:rPr>
  </w:style>
  <w:style w:type="paragraph" w:customStyle="1" w:styleId="IEEETableCell">
    <w:name w:val="IEEE Table Cell"/>
    <w:basedOn w:val="IEEEParagraph"/>
    <w:qFormat/>
    <w:rsid w:val="00331F84"/>
    <w:pPr>
      <w:ind w:firstLine="0"/>
      <w:jc w:val="left"/>
    </w:pPr>
    <w:rPr>
      <w:sz w:val="18"/>
    </w:rPr>
  </w:style>
  <w:style w:type="paragraph" w:customStyle="1" w:styleId="IEEETitle">
    <w:name w:val="IEEE Title"/>
    <w:basedOn w:val="Normal"/>
    <w:qFormat/>
    <w:rsid w:val="00E32853"/>
    <w:pPr>
      <w:snapToGrid w:val="0"/>
      <w:jc w:val="center"/>
    </w:pPr>
    <w:rPr>
      <w:sz w:val="48"/>
    </w:rPr>
  </w:style>
  <w:style w:type="paragraph" w:customStyle="1" w:styleId="IEEEHeading3">
    <w:name w:val="IEEE Heading 3"/>
    <w:basedOn w:val="Normal"/>
    <w:link w:val="IEEEHeading3Char"/>
    <w:qFormat/>
    <w:rsid w:val="00321304"/>
    <w:pPr>
      <w:snapToGrid w:val="0"/>
      <w:spacing w:before="120" w:after="60"/>
      <w:ind w:firstLine="216"/>
      <w:jc w:val="both"/>
    </w:pPr>
    <w:rPr>
      <w:i/>
      <w:sz w:val="20"/>
    </w:rPr>
  </w:style>
  <w:style w:type="paragraph" w:customStyle="1" w:styleId="IEEETableCaption">
    <w:name w:val="IEEE Table Caption"/>
    <w:basedOn w:val="Normal"/>
    <w:qFormat/>
    <w:rsid w:val="00A45FCE"/>
    <w:pPr>
      <w:spacing w:before="120" w:after="120"/>
      <w:jc w:val="center"/>
    </w:pPr>
    <w:rPr>
      <w:smallCaps/>
      <w:sz w:val="16"/>
    </w:rPr>
  </w:style>
  <w:style w:type="paragraph" w:customStyle="1" w:styleId="IEEEFigureCaptionSingle-Line">
    <w:name w:val="IEEE Figure Caption Single-Line"/>
    <w:basedOn w:val="IEEETableCaption"/>
    <w:qFormat/>
    <w:rsid w:val="00FA4909"/>
    <w:rPr>
      <w:smallCaps w:val="0"/>
    </w:rPr>
  </w:style>
  <w:style w:type="paragraph" w:customStyle="1" w:styleId="IEEEFigure">
    <w:name w:val="IEEE Figure"/>
    <w:basedOn w:val="Normal"/>
    <w:qFormat/>
    <w:rsid w:val="00D36B52"/>
    <w:pPr>
      <w:jc w:val="center"/>
    </w:pPr>
  </w:style>
  <w:style w:type="paragraph" w:customStyle="1" w:styleId="IEEEReferenceItem">
    <w:name w:val="IEEE Reference Item"/>
    <w:basedOn w:val="Normal"/>
    <w:qFormat/>
    <w:rsid w:val="00CD4F3F"/>
    <w:pPr>
      <w:snapToGrid w:val="0"/>
      <w:jc w:val="both"/>
    </w:pPr>
    <w:rPr>
      <w:sz w:val="16"/>
      <w:lang w:val="en-US"/>
    </w:rPr>
  </w:style>
  <w:style w:type="paragraph" w:customStyle="1" w:styleId="IEEEFigureCaptionMulti-Lines">
    <w:name w:val="IEEE Figure Caption Multi-Lines"/>
    <w:basedOn w:val="IEEEFigureCaptionSingle-Line"/>
    <w:qFormat/>
    <w:rsid w:val="00D36B52"/>
    <w:pPr>
      <w:jc w:val="both"/>
    </w:pPr>
  </w:style>
  <w:style w:type="paragraph" w:customStyle="1" w:styleId="IEEETableHeaderCentered">
    <w:name w:val="IEEE Table Header Centered"/>
    <w:basedOn w:val="IEEETableCell"/>
    <w:qFormat/>
    <w:rsid w:val="00D36B52"/>
    <w:pPr>
      <w:jc w:val="center"/>
    </w:pPr>
    <w:rPr>
      <w:b/>
      <w:bCs/>
    </w:rPr>
  </w:style>
  <w:style w:type="paragraph" w:customStyle="1" w:styleId="IEEETableHeaderLeft-Justified">
    <w:name w:val="IEEE Table Header Left-Justified"/>
    <w:basedOn w:val="IEEETableCell"/>
    <w:qFormat/>
    <w:rsid w:val="00D36B52"/>
    <w:rPr>
      <w:b/>
      <w:bCs/>
    </w:rPr>
  </w:style>
  <w:style w:type="paragraph" w:styleId="FootnoteText">
    <w:name w:val="footnote text"/>
    <w:basedOn w:val="Normal"/>
    <w:link w:val="FootnoteTextChar"/>
    <w:semiHidden/>
    <w:qFormat/>
    <w:rsid w:val="00EB2163"/>
    <w:pPr>
      <w:ind w:firstLine="202"/>
      <w:jc w:val="both"/>
    </w:pPr>
    <w:rPr>
      <w:sz w:val="16"/>
      <w:szCs w:val="16"/>
    </w:rPr>
  </w:style>
  <w:style w:type="paragraph" w:styleId="Footer">
    <w:name w:val="footer"/>
    <w:basedOn w:val="Normal"/>
    <w:link w:val="FooterChar"/>
    <w:uiPriority w:val="99"/>
    <w:rsid w:val="00EB2163"/>
    <w:pPr>
      <w:tabs>
        <w:tab w:val="center" w:pos="4320"/>
        <w:tab w:val="right" w:pos="8640"/>
      </w:tabs>
    </w:pPr>
    <w:rPr>
      <w:sz w:val="20"/>
      <w:szCs w:val="20"/>
    </w:rPr>
  </w:style>
  <w:style w:type="paragraph" w:styleId="Header">
    <w:name w:val="header"/>
    <w:basedOn w:val="Normal"/>
    <w:link w:val="HeaderChar"/>
    <w:uiPriority w:val="99"/>
    <w:unhideWhenUsed/>
    <w:rsid w:val="00A1414F"/>
    <w:pPr>
      <w:tabs>
        <w:tab w:val="center" w:pos="4680"/>
        <w:tab w:val="right" w:pos="9360"/>
      </w:tabs>
    </w:pPr>
  </w:style>
  <w:style w:type="paragraph" w:styleId="BalloonText">
    <w:name w:val="Balloon Text"/>
    <w:basedOn w:val="Normal"/>
    <w:link w:val="BalloonTextChar"/>
    <w:uiPriority w:val="99"/>
    <w:semiHidden/>
    <w:unhideWhenUsed/>
    <w:qFormat/>
    <w:rsid w:val="00A1414F"/>
    <w:rPr>
      <w:rFonts w:ascii="Tahoma" w:hAnsi="Tahoma"/>
      <w:sz w:val="16"/>
      <w:szCs w:val="16"/>
    </w:rPr>
  </w:style>
  <w:style w:type="paragraph" w:customStyle="1" w:styleId="Text">
    <w:name w:val="Text"/>
    <w:basedOn w:val="Normal"/>
    <w:qFormat/>
    <w:rsid w:val="00C029BD"/>
    <w:pPr>
      <w:widowControl w:val="0"/>
      <w:spacing w:line="252" w:lineRule="auto"/>
      <w:ind w:firstLine="202"/>
      <w:jc w:val="both"/>
    </w:pPr>
    <w:rPr>
      <w:sz w:val="20"/>
      <w:szCs w:val="20"/>
      <w:lang w:val="en-US" w:eastAsia="en-US"/>
    </w:rPr>
  </w:style>
  <w:style w:type="paragraph" w:styleId="ListParagraph">
    <w:name w:val="List Paragraph"/>
    <w:basedOn w:val="Normal"/>
    <w:uiPriority w:val="34"/>
    <w:qFormat/>
    <w:rsid w:val="0046428B"/>
    <w:pPr>
      <w:ind w:left="720"/>
    </w:pPr>
  </w:style>
  <w:style w:type="paragraph" w:customStyle="1" w:styleId="Abstract">
    <w:name w:val="Abstract"/>
    <w:basedOn w:val="Normal"/>
    <w:next w:val="Normal"/>
    <w:qFormat/>
    <w:rsid w:val="00524694"/>
    <w:pPr>
      <w:spacing w:before="20"/>
      <w:ind w:firstLine="202"/>
      <w:jc w:val="both"/>
    </w:pPr>
    <w:rPr>
      <w:b/>
      <w:bCs/>
      <w:sz w:val="18"/>
      <w:szCs w:val="18"/>
      <w:lang w:val="en-US" w:eastAsia="en-US"/>
    </w:rPr>
  </w:style>
  <w:style w:type="paragraph" w:customStyle="1" w:styleId="FrameContents">
    <w:name w:val="Frame Contents"/>
    <w:basedOn w:val="Normal"/>
    <w:qFormat/>
    <w:rsid w:val="0037751A"/>
  </w:style>
  <w:style w:type="numbering" w:customStyle="1" w:styleId="IEEEBullet1">
    <w:name w:val="IEEE Bullet 1"/>
    <w:qFormat/>
    <w:rsid w:val="00955B59"/>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05DEE"/>
    <w:rPr>
      <w:color w:val="808080"/>
    </w:rPr>
  </w:style>
  <w:style w:type="table" w:customStyle="1" w:styleId="TableGrid0">
    <w:name w:val="TableGrid"/>
    <w:rsid w:val="009E2115"/>
    <w:rPr>
      <w:rFonts w:asciiTheme="minorHAnsi" w:eastAsiaTheme="minorEastAsia" w:hAnsiTheme="minorHAnsi" w:cstheme="minorBidi"/>
      <w:sz w:val="22"/>
      <w:szCs w:val="22"/>
      <w:lang w:val="en-ID" w:eastAsia="en-ID"/>
    </w:rPr>
    <w:tblPr>
      <w:tblCellMar>
        <w:top w:w="0" w:type="dxa"/>
        <w:left w:w="0" w:type="dxa"/>
        <w:bottom w:w="0" w:type="dxa"/>
        <w:right w:w="0" w:type="dxa"/>
      </w:tblCellMar>
    </w:tblPr>
  </w:style>
  <w:style w:type="character" w:customStyle="1" w:styleId="mop">
    <w:name w:val="mop"/>
    <w:basedOn w:val="DefaultParagraphFont"/>
    <w:rsid w:val="00877665"/>
  </w:style>
  <w:style w:type="character" w:customStyle="1" w:styleId="mord">
    <w:name w:val="mord"/>
    <w:basedOn w:val="DefaultParagraphFont"/>
    <w:rsid w:val="00877665"/>
  </w:style>
  <w:style w:type="character" w:customStyle="1" w:styleId="mrel">
    <w:name w:val="mrel"/>
    <w:basedOn w:val="DefaultParagraphFont"/>
    <w:rsid w:val="00877665"/>
  </w:style>
  <w:style w:type="character" w:customStyle="1" w:styleId="vlist-s">
    <w:name w:val="vlist-s"/>
    <w:basedOn w:val="DefaultParagraphFont"/>
    <w:rsid w:val="00877665"/>
  </w:style>
  <w:style w:type="character" w:styleId="Hyperlink">
    <w:name w:val="Hyperlink"/>
    <w:basedOn w:val="DefaultParagraphFont"/>
    <w:uiPriority w:val="99"/>
    <w:unhideWhenUsed/>
    <w:rsid w:val="00ED51C8"/>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rFonts w:ascii="Calibri" w:eastAsia="Calibri" w:hAnsi="Calibri" w:cs="Calibri"/>
      <w:sz w:val="22"/>
      <w:szCs w:val="22"/>
    </w:rPr>
    <w:tblPr>
      <w:tblStyleRowBandSize w:val="1"/>
      <w:tblStyleColBandSize w:val="1"/>
      <w:tblCellMar>
        <w:top w:w="20" w:type="dxa"/>
        <w:left w:w="85" w:type="dxa"/>
        <w:right w:w="85" w:type="dxa"/>
      </w:tblCellMar>
    </w:tblPr>
  </w:style>
  <w:style w:type="table" w:customStyle="1" w:styleId="a0">
    <w:basedOn w:val="TableNormal"/>
    <w:tblPr>
      <w:tblStyleRowBandSize w:val="1"/>
      <w:tblStyleColBandSize w:val="1"/>
    </w:tblPr>
  </w:style>
  <w:style w:type="table" w:customStyle="1" w:styleId="a1">
    <w:basedOn w:val="TableNormal"/>
    <w:rPr>
      <w:rFonts w:ascii="Calibri" w:eastAsia="Calibri" w:hAnsi="Calibri" w:cs="Calibri"/>
      <w:sz w:val="22"/>
      <w:szCs w:val="22"/>
    </w:rPr>
    <w:tblPr>
      <w:tblStyleRowBandSize w:val="1"/>
      <w:tblStyleColBandSize w:val="1"/>
      <w:tblCellMar>
        <w:top w:w="20" w:type="dxa"/>
        <w:left w:w="12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ei1w8NXkFLx4IMgjPMbkVK5jw==">CgMxLjA4AHIhMXloeDBWeGwzSkhLNGxia0hrUUNJT1ZZcjN6RERUWDBn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2579</Words>
  <Characters>14706</Characters>
  <Application>Microsoft Office Word</Application>
  <DocSecurity>0</DocSecurity>
  <Lines>122</Lines>
  <Paragraphs>34</Paragraphs>
  <ScaleCrop>false</ScaleCrop>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ASUS Vivobook S14</cp:lastModifiedBy>
  <cp:revision>2</cp:revision>
  <dcterms:created xsi:type="dcterms:W3CDTF">2026-10-03T13:31:00Z</dcterms:created>
  <dcterms:modified xsi:type="dcterms:W3CDTF">2026-10-03T13:31:00Z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Project-OS.org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DocHome">
    <vt:i4>-1673807011</vt:i4>
  </property>
</Properties>
</file>