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Vectair Flite - METAR Builder</w:t>
      </w:r>
    </w:p>
    <w:p>
      <w:pPr>
        <w:pStyle w:val="SubtitleCustom"/>
        <w:spacing w:after="240"/>
      </w:pPr>
      <w:r>
        <w:t>Design report for the proposed Weather tab composition tool, calculators, and meteorology administration controls.</w:t>
      </w:r>
    </w:p>
    <w:tbl>
      <w:tblPr>
        <w:tblW w:type="auto" w:w="0"/>
        <w:jc w:val="left"/>
        <w:tblLayout w:type="fixed"/>
        <w:tblLook w:firstColumn="1" w:firstRow="1" w:lastColumn="0" w:lastRow="0" w:noHBand="0" w:noVBand="1" w:val="04A0"/>
      </w:tblPr>
      <w:tblGrid>
        <w:gridCol w:w="3312"/>
        <w:gridCol w:w="3312"/>
        <w:gridCol w:w="3312"/>
      </w:tblGrid>
      <w:tr>
        <w:tc>
          <w:tcPr>
            <w:tcW w:type="dxa" w:w="2304"/>
            <w:tcMar>
              <w:top w:w="80" w:type="dxa"/>
              <w:start w:w="100" w:type="dxa"/>
              <w:bottom w:w="80" w:type="dxa"/>
              <w:end w:w="100" w:type="dxa"/>
            </w:tcMar>
            <w:vAlign w:val="center"/>
            <w:shd w:fill="F3F4F4"/>
          </w:tcPr>
          <w:p>
            <w:r/>
            <w:r>
              <w:rPr>
                <w:b/>
                <w:color w:val="5F6971"/>
                <w:sz w:val="19"/>
              </w:rPr>
              <w:t>Project</w:t>
              <w:br/>
            </w:r>
            <w:r>
              <w:rPr>
                <w:sz w:val="21"/>
              </w:rPr>
              <w:t>Vectair Flite</w:t>
            </w:r>
          </w:p>
        </w:tc>
        <w:tc>
          <w:tcPr>
            <w:tcW w:type="dxa" w:w="2880"/>
            <w:tcMar>
              <w:top w:w="80" w:type="dxa"/>
              <w:start w:w="100" w:type="dxa"/>
              <w:bottom w:w="80" w:type="dxa"/>
              <w:end w:w="100" w:type="dxa"/>
            </w:tcMar>
            <w:vAlign w:val="center"/>
            <w:shd w:fill="F3F4F4"/>
          </w:tcPr>
          <w:p>
            <w:r/>
            <w:r>
              <w:rPr>
                <w:b/>
                <w:color w:val="5F6971"/>
                <w:sz w:val="19"/>
              </w:rPr>
              <w:t>Document purpose</w:t>
              <w:br/>
            </w:r>
            <w:r>
              <w:rPr>
                <w:sz w:val="21"/>
              </w:rPr>
              <w:t>Design baseline / hold file</w:t>
            </w:r>
          </w:p>
        </w:tc>
        <w:tc>
          <w:tcPr>
            <w:tcW w:type="dxa" w:w="3888"/>
            <w:tcMar>
              <w:top w:w="80" w:type="dxa"/>
              <w:start w:w="100" w:type="dxa"/>
              <w:bottom w:w="80" w:type="dxa"/>
              <w:end w:w="100" w:type="dxa"/>
            </w:tcMar>
            <w:vAlign w:val="center"/>
            <w:shd w:fill="F3F4F4"/>
          </w:tcPr>
          <w:p>
            <w:r/>
            <w:r>
              <w:rPr>
                <w:b/>
                <w:color w:val="5F6971"/>
                <w:sz w:val="19"/>
              </w:rPr>
              <w:t>Status</w:t>
              <w:br/>
            </w:r>
            <w:r>
              <w:rPr>
                <w:sz w:val="21"/>
              </w:rPr>
              <w:t>Pre-implementation concept</w:t>
            </w:r>
          </w:p>
        </w:tc>
      </w:tr>
      <w:tr>
        <w:tc>
          <w:tcPr>
            <w:tcW w:type="dxa" w:w="2304"/>
            <w:tcMar>
              <w:top w:w="80" w:type="dxa"/>
              <w:start w:w="100" w:type="dxa"/>
              <w:bottom w:w="80" w:type="dxa"/>
              <w:end w:w="100" w:type="dxa"/>
            </w:tcMar>
            <w:vAlign w:val="center"/>
            <w:shd w:fill="FFFFFF"/>
          </w:tcPr>
          <w:p>
            <w:r/>
            <w:r>
              <w:rPr>
                <w:b/>
                <w:color w:val="5F6971"/>
                <w:sz w:val="19"/>
              </w:rPr>
              <w:t>Primary output</w:t>
              <w:br/>
            </w:r>
            <w:r>
              <w:rPr>
                <w:sz w:val="21"/>
              </w:rPr>
              <w:t>Valid plain-text METAR/SPECI</w:t>
            </w:r>
          </w:p>
        </w:tc>
        <w:tc>
          <w:tcPr>
            <w:tcW w:type="dxa" w:w="2880"/>
            <w:tcMar>
              <w:top w:w="80" w:type="dxa"/>
              <w:start w:w="100" w:type="dxa"/>
              <w:bottom w:w="80" w:type="dxa"/>
              <w:end w:w="100" w:type="dxa"/>
            </w:tcMar>
            <w:vAlign w:val="center"/>
            <w:shd w:fill="FFFFFF"/>
          </w:tcPr>
          <w:p>
            <w:r/>
            <w:r>
              <w:rPr>
                <w:b/>
                <w:color w:val="5F6971"/>
                <w:sz w:val="19"/>
              </w:rPr>
              <w:t>Intended use</w:t>
              <w:br/>
            </w:r>
            <w:r>
              <w:rPr>
                <w:sz w:val="21"/>
              </w:rPr>
              <w:t>Drafting for onward email to Met Office</w:t>
            </w:r>
          </w:p>
        </w:tc>
        <w:tc>
          <w:tcPr>
            <w:tcW w:type="dxa" w:w="3888"/>
            <w:tcMar>
              <w:top w:w="80" w:type="dxa"/>
              <w:start w:w="100" w:type="dxa"/>
              <w:bottom w:w="80" w:type="dxa"/>
              <w:end w:w="100" w:type="dxa"/>
            </w:tcMar>
            <w:vAlign w:val="center"/>
            <w:shd w:fill="FFFFFF"/>
          </w:tcPr>
          <w:p>
            <w:r/>
            <w:r>
              <w:rPr>
                <w:b/>
                <w:color w:val="5F6971"/>
                <w:sz w:val="19"/>
              </w:rPr>
              <w:t>Scope basis</w:t>
              <w:br/>
            </w:r>
            <w:r>
              <w:rPr>
                <w:sz w:val="21"/>
              </w:rPr>
              <w:t>METAR brief + design discussions</w:t>
            </w:r>
          </w:p>
        </w:tc>
      </w:tr>
    </w:tbl>
    <w:p/>
    <w:p>
      <w:pPr>
        <w:pStyle w:val="Heading1Custom"/>
        <w:spacing w:after="80" w:line="269" w:lineRule="auto"/>
      </w:pPr>
      <w:r>
        <w:t>1. Overview</w:t>
      </w:r>
    </w:p>
    <w:p>
      <w:pPr>
        <w:spacing w:after="80" w:line="269" w:lineRule="auto"/>
      </w:pPr>
      <w:r>
        <w:t>The METAR Builder is a proposed Weather-tab tool for Vectair Flite that allows an operator to compose a complete METAR or SPECI from structured inputs rather than free typing. The objective is to reduce drafting time and, more importantly, reduce assembly errors when preparing a plain-text weather report for onward transmission by email.</w:t>
      </w:r>
    </w:p>
    <w:p>
      <w:pPr>
        <w:spacing w:after="80" w:line="269" w:lineRule="auto"/>
      </w:pPr>
      <w:r>
        <w:t>The builder is intended to assemble only full, valid outputs. It is not conceived as a permissive text editor. The system therefore relies on controlled selections, typed numeric fields, hard-stop validation, and optional meteorological calculators that feed the relevant report fields.</w:t>
      </w:r>
    </w:p>
    <w:p>
      <w:pPr>
        <w:spacing w:after="80" w:line="269" w:lineRule="auto"/>
      </w:pPr>
      <w:r>
        <w:t>The design language is intended to remain native to Flite: restrained colours, compact operational panels, clear hierarchy, and section order that mirrors the finished METAR sequence.</w:t>
      </w:r>
    </w:p>
    <w:p>
      <w:pPr>
        <w:pStyle w:val="Heading1Custom"/>
        <w:spacing w:after="80" w:line="269" w:lineRule="auto"/>
      </w:pPr>
      <w:r>
        <w:t>2. What the tool is</w:t>
      </w:r>
    </w:p>
    <w:p>
      <w:pPr>
        <w:ind w:left="259" w:hanging="230"/>
      </w:pPr>
      <w:r>
        <w:rPr>
          <w:b/>
        </w:rPr>
        <w:t xml:space="preserve">• </w:t>
      </w:r>
      <w:r>
        <w:t>A structured composition interface for METAR, SPECI, and military/civil variants.</w:t>
      </w:r>
    </w:p>
    <w:p>
      <w:pPr>
        <w:ind w:left="259" w:hanging="230"/>
      </w:pPr>
      <w:r>
        <w:rPr>
          <w:b/>
        </w:rPr>
        <w:t xml:space="preserve">• </w:t>
      </w:r>
      <w:r>
        <w:t>A plain-text output builder that ends in a one-click copy action with trailing "=".</w:t>
      </w:r>
    </w:p>
    <w:p>
      <w:pPr>
        <w:ind w:left="259" w:hanging="230"/>
      </w:pPr>
      <w:r>
        <w:rPr>
          <w:b/>
        </w:rPr>
        <w:t xml:space="preserve">• </w:t>
      </w:r>
      <w:r>
        <w:t>A validation-driven drafting aid that blocks copy until the message is structurally valid.</w:t>
      </w:r>
    </w:p>
    <w:p>
      <w:pPr>
        <w:ind w:left="259" w:hanging="230"/>
      </w:pPr>
      <w:r>
        <w:rPr>
          <w:b/>
        </w:rPr>
        <w:t xml:space="preserve">• </w:t>
      </w:r>
      <w:r>
        <w:t>A configurable framework that can hide unused METAR groups according to local unit practice.</w:t>
      </w:r>
    </w:p>
    <w:p>
      <w:pPr>
        <w:ind w:left="259" w:hanging="230"/>
      </w:pPr>
      <w:r>
        <w:rPr>
          <w:b/>
        </w:rPr>
        <w:t xml:space="preserve">• </w:t>
      </w:r>
      <w:r>
        <w:t>A host for a small number of scientifically defensible calculators, notably dew point, convective cloud-base estimate, and QNH.</w:t>
      </w:r>
    </w:p>
    <w:p>
      <w:pPr>
        <w:pStyle w:val="Heading1Custom"/>
        <w:spacing w:after="80" w:line="269" w:lineRule="auto"/>
      </w:pPr>
      <w:r>
        <w:t>3. What the tool aims to do</w:t>
      </w:r>
    </w:p>
    <w:tbl>
      <w:tblPr>
        <w:tblW w:type="auto" w:w="0"/>
        <w:jc w:val="left"/>
        <w:tblLayout w:type="fixed"/>
        <w:tblLook w:firstColumn="1" w:firstRow="1" w:lastColumn="0" w:lastRow="0" w:noHBand="0" w:noVBand="1" w:val="04A0"/>
      </w:tblPr>
      <w:tblGrid>
        <w:gridCol w:w="2304"/>
        <w:gridCol w:w="8208"/>
      </w:tblGrid>
      <w:tr>
        <w:tc>
          <w:tcPr>
            <w:tcW w:type="dxa" w:w="4968"/>
            <w:shd w:fill="EEF0F1"/>
            <w:tcMar>
              <w:top w:w="90" w:type="dxa"/>
              <w:start w:w="100" w:type="dxa"/>
              <w:bottom w:w="90" w:type="dxa"/>
              <w:end w:w="100" w:type="dxa"/>
            </w:tcMar>
          </w:tcPr>
          <w:p>
            <w:r>
              <w:rPr>
                <w:b/>
              </w:rPr>
              <w:t>Aim</w:t>
            </w:r>
          </w:p>
        </w:tc>
        <w:tc>
          <w:tcPr>
            <w:tcW w:type="dxa" w:w="4968"/>
            <w:shd w:fill="EEF0F1"/>
            <w:tcMar>
              <w:top w:w="90" w:type="dxa"/>
              <w:start w:w="100" w:type="dxa"/>
              <w:bottom w:w="90" w:type="dxa"/>
              <w:end w:w="100" w:type="dxa"/>
            </w:tcMar>
          </w:tcPr>
          <w:p>
            <w:r>
              <w:rPr>
                <w:b/>
              </w:rPr>
              <w:t>Meaning</w:t>
            </w:r>
          </w:p>
        </w:tc>
      </w:tr>
      <w:tr>
        <w:tc>
          <w:tcPr>
            <w:tcW w:type="dxa" w:w="2304"/>
            <w:tcMar>
              <w:top w:w="90" w:type="dxa"/>
              <w:start w:w="100" w:type="dxa"/>
              <w:bottom w:w="90" w:type="dxa"/>
              <w:end w:w="100" w:type="dxa"/>
            </w:tcMar>
            <w:vAlign w:val="center"/>
          </w:tcPr>
          <w:p>
            <w:r>
              <w:t>Reduce error</w:t>
            </w:r>
          </w:p>
        </w:tc>
        <w:tc>
          <w:tcPr>
            <w:tcW w:type="dxa" w:w="8208"/>
            <w:tcMar>
              <w:top w:w="90" w:type="dxa"/>
              <w:start w:w="100" w:type="dxa"/>
              <w:bottom w:w="90" w:type="dxa"/>
              <w:end w:w="100" w:type="dxa"/>
            </w:tcMar>
            <w:vAlign w:val="center"/>
          </w:tcPr>
          <w:p>
            <w:r>
              <w:t>Avoid spelling mistakes, bad token order, omitted groups, or malformed codes by using controlled components wherever possible.</w:t>
            </w:r>
          </w:p>
        </w:tc>
      </w:tr>
      <w:tr>
        <w:tc>
          <w:tcPr>
            <w:tcW w:type="dxa" w:w="2304"/>
            <w:tcMar>
              <w:top w:w="90" w:type="dxa"/>
              <w:start w:w="100" w:type="dxa"/>
              <w:bottom w:w="90" w:type="dxa"/>
              <w:end w:w="100" w:type="dxa"/>
            </w:tcMar>
            <w:vAlign w:val="center"/>
          </w:tcPr>
          <w:p>
            <w:r>
              <w:t>Speed drafting</w:t>
            </w:r>
          </w:p>
        </w:tc>
        <w:tc>
          <w:tcPr>
            <w:tcW w:type="dxa" w:w="8208"/>
            <w:tcMar>
              <w:top w:w="90" w:type="dxa"/>
              <w:start w:w="100" w:type="dxa"/>
              <w:bottom w:w="90" w:type="dxa"/>
              <w:end w:w="100" w:type="dxa"/>
            </w:tcMar>
            <w:vAlign w:val="center"/>
          </w:tcPr>
          <w:p>
            <w:r>
              <w:t>Allow the observer to move through the report in the same order that the final METAR is assembled, making straight-through tabbing practical.</w:t>
            </w:r>
          </w:p>
        </w:tc>
      </w:tr>
      <w:tr>
        <w:tc>
          <w:tcPr>
            <w:tcW w:type="dxa" w:w="2304"/>
            <w:tcMar>
              <w:top w:w="90" w:type="dxa"/>
              <w:start w:w="100" w:type="dxa"/>
              <w:bottom w:w="90" w:type="dxa"/>
              <w:end w:w="100" w:type="dxa"/>
            </w:tcMar>
            <w:vAlign w:val="center"/>
          </w:tcPr>
          <w:p>
            <w:r>
              <w:t>Support local practice</w:t>
            </w:r>
          </w:p>
        </w:tc>
        <w:tc>
          <w:tcPr>
            <w:tcW w:type="dxa" w:w="8208"/>
            <w:tcMar>
              <w:top w:w="90" w:type="dxa"/>
              <w:start w:w="100" w:type="dxa"/>
              <w:bottom w:w="90" w:type="dxa"/>
              <w:end w:w="100" w:type="dxa"/>
            </w:tcMar>
            <w:vAlign w:val="center"/>
          </w:tcPr>
          <w:p>
            <w:r>
              <w:t>Allow military-only or optional sections such as colour state, RVR, recent weather, wind shear, or runway state to be enabled or suppressed by station configuration.</w:t>
            </w:r>
          </w:p>
        </w:tc>
      </w:tr>
      <w:tr>
        <w:tc>
          <w:tcPr>
            <w:tcW w:type="dxa" w:w="2304"/>
            <w:tcMar>
              <w:top w:w="90" w:type="dxa"/>
              <w:start w:w="100" w:type="dxa"/>
              <w:bottom w:w="90" w:type="dxa"/>
              <w:end w:w="100" w:type="dxa"/>
            </w:tcMar>
            <w:vAlign w:val="center"/>
          </w:tcPr>
          <w:p>
            <w:r>
              <w:t>Assist, not replace, observation</w:t>
            </w:r>
          </w:p>
        </w:tc>
        <w:tc>
          <w:tcPr>
            <w:tcW w:type="dxa" w:w="8208"/>
            <w:tcMar>
              <w:top w:w="90" w:type="dxa"/>
              <w:start w:w="100" w:type="dxa"/>
              <w:bottom w:w="90" w:type="dxa"/>
              <w:end w:w="100" w:type="dxa"/>
            </w:tcMar>
            <w:vAlign w:val="center"/>
          </w:tcPr>
          <w:p>
            <w:r>
              <w:t>Provide targeted calculators where mathematics genuinely helps the observer, while keeping the operator in control of the final report.</w:t>
            </w:r>
          </w:p>
        </w:tc>
      </w:tr>
    </w:tbl>
    <w:p/>
    <w:p>
      <w:pPr>
        <w:pStyle w:val="Heading1Custom"/>
        <w:spacing w:after="80" w:line="269" w:lineRule="auto"/>
      </w:pPr>
      <w:r>
        <w:t>4. Core operating model</w:t>
      </w:r>
    </w:p>
    <w:p>
      <w:pPr>
        <w:spacing w:after="80" w:line="269" w:lineRule="auto"/>
      </w:pPr>
      <w:r>
        <w:t>The builder is designed around one primary principle: the input path should match the finished METAR sequence. The operator should be able to move left to right and top to bottom through the form in the same order that groups appear in the output string.</w:t>
      </w:r>
    </w:p>
    <w:p>
      <w:pPr>
        <w:ind w:left="317" w:hanging="259"/>
      </w:pPr>
      <w:r>
        <w:rPr>
          <w:b/>
        </w:rPr>
        <w:t xml:space="preserve">1. </w:t>
      </w:r>
      <w:r>
        <w:t>Message type, station, and observation time</w:t>
      </w:r>
    </w:p>
    <w:p>
      <w:pPr>
        <w:ind w:left="317" w:hanging="259"/>
      </w:pPr>
      <w:r>
        <w:rPr>
          <w:b/>
        </w:rPr>
        <w:t xml:space="preserve">2. </w:t>
      </w:r>
      <w:r>
        <w:t>Wind</w:t>
      </w:r>
    </w:p>
    <w:p>
      <w:pPr>
        <w:ind w:left="317" w:hanging="259"/>
      </w:pPr>
      <w:r>
        <w:rPr>
          <w:b/>
        </w:rPr>
        <w:t xml:space="preserve">3. </w:t>
      </w:r>
      <w:r>
        <w:t>Visibility</w:t>
      </w:r>
    </w:p>
    <w:p>
      <w:pPr>
        <w:ind w:left="317" w:hanging="259"/>
      </w:pPr>
      <w:r>
        <w:rPr>
          <w:b/>
        </w:rPr>
        <w:t xml:space="preserve">4. </w:t>
      </w:r>
      <w:r>
        <w:t>RVR</w:t>
      </w:r>
    </w:p>
    <w:p>
      <w:pPr>
        <w:ind w:left="317" w:hanging="259"/>
      </w:pPr>
      <w:r>
        <w:rPr>
          <w:b/>
        </w:rPr>
        <w:t xml:space="preserve">5. </w:t>
      </w:r>
      <w:r>
        <w:t>Present weather</w:t>
      </w:r>
    </w:p>
    <w:p>
      <w:pPr>
        <w:ind w:left="317" w:hanging="259"/>
      </w:pPr>
      <w:r>
        <w:rPr>
          <w:b/>
        </w:rPr>
        <w:t xml:space="preserve">6. </w:t>
      </w:r>
      <w:r>
        <w:t>Cloud / CAVOK</w:t>
      </w:r>
    </w:p>
    <w:p>
      <w:pPr>
        <w:ind w:left="317" w:hanging="259"/>
      </w:pPr>
      <w:r>
        <w:rPr>
          <w:b/>
        </w:rPr>
        <w:t xml:space="preserve">7. </w:t>
      </w:r>
      <w:r>
        <w:t>Temperature and dew point</w:t>
      </w:r>
    </w:p>
    <w:p>
      <w:pPr>
        <w:ind w:left="317" w:hanging="259"/>
      </w:pPr>
      <w:r>
        <w:rPr>
          <w:b/>
        </w:rPr>
        <w:t xml:space="preserve">8. </w:t>
      </w:r>
      <w:r>
        <w:t>QNH</w:t>
      </w:r>
    </w:p>
    <w:p>
      <w:pPr>
        <w:ind w:left="317" w:hanging="259"/>
      </w:pPr>
      <w:r>
        <w:rPr>
          <w:b/>
        </w:rPr>
        <w:t xml:space="preserve">9. </w:t>
      </w:r>
      <w:r>
        <w:t>Recent weather</w:t>
      </w:r>
    </w:p>
    <w:p>
      <w:pPr>
        <w:ind w:left="317" w:hanging="259"/>
      </w:pPr>
      <w:r>
        <w:rPr>
          <w:b/>
        </w:rPr>
        <w:t xml:space="preserve">10. </w:t>
      </w:r>
      <w:r>
        <w:t>Wind shear</w:t>
      </w:r>
    </w:p>
    <w:p>
      <w:pPr>
        <w:ind w:left="317" w:hanging="259"/>
      </w:pPr>
      <w:r>
        <w:rPr>
          <w:b/>
        </w:rPr>
        <w:t xml:space="preserve">11. </w:t>
      </w:r>
      <w:r>
        <w:t>Colour state</w:t>
      </w:r>
    </w:p>
    <w:p>
      <w:pPr>
        <w:ind w:left="317" w:hanging="259"/>
      </w:pPr>
      <w:r>
        <w:rPr>
          <w:b/>
        </w:rPr>
        <w:t xml:space="preserve">12. </w:t>
      </w:r>
      <w:r>
        <w:t>Runway state</w:t>
      </w:r>
    </w:p>
    <w:p>
      <w:pPr>
        <w:spacing w:after="80" w:line="269" w:lineRule="auto"/>
      </w:pPr>
      <w:r>
        <w:t>The output preview sits above the form and reflects the live assembled message. Copy remains unavailable until validation is satisfied for all enabled sections.</w:t>
      </w:r>
    </w:p>
    <w:p>
      <w:pPr>
        <w:pStyle w:val="Heading1Custom"/>
        <w:spacing w:after="80" w:line="269" w:lineRule="auto"/>
      </w:pPr>
      <w:r>
        <w:t>5. How the interface works</w:t>
      </w:r>
    </w:p>
    <w:p>
      <w:pPr>
        <w:pStyle w:val="Heading2Custom"/>
        <w:spacing w:after="80" w:line="269" w:lineRule="auto"/>
      </w:pPr>
      <w:r>
        <w:t>Controlled and typed inputs</w:t>
      </w:r>
    </w:p>
    <w:p>
      <w:pPr>
        <w:spacing w:after="80" w:line="269" w:lineRule="auto"/>
      </w:pPr>
      <w:r>
        <w:t>The interface uses mixed-mode entry. Numeric or observational values such as time, pressure, visibility, and temperatures are typed. Constrained code elements such as present weather descriptors, cloud amounts, colour states, and report type are chosen from fixed options. This avoids spelling errors while retaining flexibility where measured values genuinely vary.</w:t>
      </w:r>
    </w:p>
    <w:p>
      <w:pPr>
        <w:pStyle w:val="Heading2Custom"/>
        <w:spacing w:after="80" w:line="269" w:lineRule="auto"/>
      </w:pPr>
      <w:r>
        <w:t>Dynamic repeated groups</w:t>
      </w:r>
    </w:p>
    <w:p>
      <w:pPr>
        <w:spacing w:after="80" w:line="269" w:lineRule="auto"/>
      </w:pPr>
      <w:r>
        <w:t>Repeated structures such as RVR entries, present weather groups, and cloud layers are row-based and add/remove capable. Each row assembles its own token or contribution without turning the whole page into a free-text editor.</w:t>
      </w:r>
    </w:p>
    <w:p>
      <w:pPr>
        <w:pStyle w:val="Heading2Custom"/>
        <w:spacing w:after="80" w:line="269" w:lineRule="auto"/>
      </w:pPr>
      <w:r>
        <w:t>Recall previous observation</w:t>
      </w:r>
    </w:p>
    <w:p>
      <w:pPr>
        <w:spacing w:after="80" w:line="269" w:lineRule="auto"/>
      </w:pPr>
      <w:r>
        <w:t>The page opens clean by default. A deliberate recall action can restore the previous observation state if the operator wishes to use it as a starting point.</w:t>
      </w:r>
    </w:p>
    <w:p>
      <w:pPr>
        <w:pStyle w:val="Heading2Custom"/>
        <w:spacing w:after="80" w:line="269" w:lineRule="auto"/>
      </w:pPr>
      <w:r>
        <w:t>One-click copy</w:t>
      </w:r>
    </w:p>
    <w:p>
      <w:pPr>
        <w:spacing w:after="80" w:line="269" w:lineRule="auto"/>
      </w:pPr>
      <w:r>
        <w:t>The final output is plain text only and is intended to be pasted directly into an outbound email. The copied value includes the trailing equals sign.</w:t>
      </w:r>
    </w:p>
    <w:p>
      <w:pPr>
        <w:pStyle w:val="Heading1Custom"/>
        <w:spacing w:after="80" w:line="269" w:lineRule="auto"/>
      </w:pPr>
      <w:r>
        <w:t>6. Validation philosophy</w:t>
      </w:r>
    </w:p>
    <w:p>
      <w:pPr>
        <w:spacing w:after="80" w:line="269" w:lineRule="auto"/>
      </w:pPr>
      <w:r>
        <w:t>Validation is intended to be hard-stop rather than advisory. The builder should not merely warn about malformed structure and then allow copy anyway. It should prevent completion until the enabled METAR groups are internally coherent and correctly formatted.</w:t>
      </w:r>
    </w:p>
    <w:tbl>
      <w:tblPr>
        <w:tblW w:type="auto" w:w="0"/>
        <w:jc w:val="left"/>
        <w:tblLayout w:type="fixed"/>
        <w:tblLook w:firstColumn="1" w:firstRow="1" w:lastColumn="0" w:lastRow="0" w:noHBand="0" w:noVBand="1" w:val="04A0"/>
      </w:tblPr>
      <w:tblGrid>
        <w:gridCol w:w="2664"/>
        <w:gridCol w:w="7848"/>
      </w:tblGrid>
      <w:tr>
        <w:tc>
          <w:tcPr>
            <w:tcW w:type="dxa" w:w="4968"/>
            <w:shd w:fill="EEF0F1"/>
            <w:tcMar>
              <w:top w:w="90" w:type="dxa"/>
              <w:start w:w="100" w:type="dxa"/>
              <w:bottom w:w="90" w:type="dxa"/>
              <w:end w:w="100" w:type="dxa"/>
            </w:tcMar>
          </w:tcPr>
          <w:p>
            <w:r>
              <w:rPr>
                <w:b/>
              </w:rPr>
              <w:t>Validation area</w:t>
            </w:r>
          </w:p>
        </w:tc>
        <w:tc>
          <w:tcPr>
            <w:tcW w:type="dxa" w:w="4968"/>
            <w:shd w:fill="EEF0F1"/>
            <w:tcMar>
              <w:top w:w="90" w:type="dxa"/>
              <w:start w:w="100" w:type="dxa"/>
              <w:bottom w:w="90" w:type="dxa"/>
              <w:end w:w="100" w:type="dxa"/>
            </w:tcMar>
          </w:tcPr>
          <w:p>
            <w:r>
              <w:rPr>
                <w:b/>
              </w:rPr>
              <w:t>Expected behaviour</w:t>
            </w:r>
          </w:p>
        </w:tc>
      </w:tr>
      <w:tr>
        <w:tc>
          <w:tcPr>
            <w:tcW w:type="dxa" w:w="2664"/>
            <w:tcMar>
              <w:top w:w="85" w:type="dxa"/>
              <w:start w:w="100" w:type="dxa"/>
              <w:bottom w:w="85" w:type="dxa"/>
              <w:end w:w="100" w:type="dxa"/>
            </w:tcMar>
          </w:tcPr>
          <w:p>
            <w:r>
              <w:t>Mutual exclusivity</w:t>
            </w:r>
          </w:p>
        </w:tc>
        <w:tc>
          <w:tcPr>
            <w:tcW w:type="dxa" w:w="7848"/>
            <w:tcMar>
              <w:top w:w="85" w:type="dxa"/>
              <w:start w:w="100" w:type="dxa"/>
              <w:bottom w:w="85" w:type="dxa"/>
              <w:end w:w="100" w:type="dxa"/>
            </w:tcMar>
          </w:tcPr>
          <w:p>
            <w:r>
              <w:t>Example: cloud groups and CAVOK must not be used in contradictory ways.</w:t>
            </w:r>
          </w:p>
        </w:tc>
      </w:tr>
      <w:tr>
        <w:tc>
          <w:tcPr>
            <w:tcW w:type="dxa" w:w="2664"/>
            <w:tcMar>
              <w:top w:w="85" w:type="dxa"/>
              <w:start w:w="100" w:type="dxa"/>
              <w:bottom w:w="85" w:type="dxa"/>
              <w:end w:w="100" w:type="dxa"/>
            </w:tcMar>
          </w:tcPr>
          <w:p>
            <w:r>
              <w:t>Structural correctness</w:t>
            </w:r>
          </w:p>
        </w:tc>
        <w:tc>
          <w:tcPr>
            <w:tcW w:type="dxa" w:w="7848"/>
            <w:tcMar>
              <w:top w:w="85" w:type="dxa"/>
              <w:start w:w="100" w:type="dxa"/>
              <w:bottom w:w="85" w:type="dxa"/>
              <w:end w:w="100" w:type="dxa"/>
            </w:tcMar>
          </w:tcPr>
          <w:p>
            <w:r>
              <w:t>Example: present weather tokens are assembled only in valid code order.</w:t>
            </w:r>
          </w:p>
        </w:tc>
      </w:tr>
      <w:tr>
        <w:tc>
          <w:tcPr>
            <w:tcW w:type="dxa" w:w="2664"/>
            <w:tcMar>
              <w:top w:w="85" w:type="dxa"/>
              <w:start w:w="100" w:type="dxa"/>
              <w:bottom w:w="85" w:type="dxa"/>
              <w:end w:w="100" w:type="dxa"/>
            </w:tcMar>
          </w:tcPr>
          <w:p>
            <w:r>
              <w:t>Mode-specific logic</w:t>
            </w:r>
          </w:p>
        </w:tc>
        <w:tc>
          <w:tcPr>
            <w:tcW w:type="dxa" w:w="7848"/>
            <w:tcMar>
              <w:top w:w="85" w:type="dxa"/>
              <w:start w:w="100" w:type="dxa"/>
              <w:bottom w:w="85" w:type="dxa"/>
              <w:end w:w="100" w:type="dxa"/>
            </w:tcMar>
          </w:tcPr>
          <w:p>
            <w:r>
              <w:t>Civil and military variants can apply different rules, especially for colour state behaviour.</w:t>
            </w:r>
          </w:p>
        </w:tc>
      </w:tr>
      <w:tr>
        <w:tc>
          <w:tcPr>
            <w:tcW w:type="dxa" w:w="2664"/>
            <w:tcMar>
              <w:top w:w="85" w:type="dxa"/>
              <w:start w:w="100" w:type="dxa"/>
              <w:bottom w:w="85" w:type="dxa"/>
              <w:end w:w="100" w:type="dxa"/>
            </w:tcMar>
          </w:tcPr>
          <w:p>
            <w:r>
              <w:t>Formatting and rounding</w:t>
            </w:r>
          </w:p>
        </w:tc>
        <w:tc>
          <w:tcPr>
            <w:tcW w:type="dxa" w:w="7848"/>
            <w:tcMar>
              <w:top w:w="85" w:type="dxa"/>
              <w:start w:w="100" w:type="dxa"/>
              <w:bottom w:w="85" w:type="dxa"/>
              <w:end w:w="100" w:type="dxa"/>
            </w:tcMar>
          </w:tcPr>
          <w:p>
            <w:r>
              <w:t>Numerical results should be rounded according to the correct meteorological reporting rules before population of the final fields.</w:t>
            </w:r>
          </w:p>
        </w:tc>
      </w:tr>
      <w:tr>
        <w:tc>
          <w:tcPr>
            <w:tcW w:type="dxa" w:w="2664"/>
            <w:tcMar>
              <w:top w:w="85" w:type="dxa"/>
              <w:start w:w="100" w:type="dxa"/>
              <w:bottom w:w="85" w:type="dxa"/>
              <w:end w:w="100" w:type="dxa"/>
            </w:tcMar>
          </w:tcPr>
          <w:p>
            <w:r>
              <w:t>Section visibility</w:t>
            </w:r>
          </w:p>
        </w:tc>
        <w:tc>
          <w:tcPr>
            <w:tcW w:type="dxa" w:w="7848"/>
            <w:tcMar>
              <w:top w:w="85" w:type="dxa"/>
              <w:start w:w="100" w:type="dxa"/>
              <w:bottom w:w="85" w:type="dxa"/>
              <w:end w:w="100" w:type="dxa"/>
            </w:tcMar>
          </w:tcPr>
          <w:p>
            <w:r>
              <w:t>A disabled section should not appear in the form, should not contribute to the output, and should not be validated.</w:t>
            </w:r>
          </w:p>
        </w:tc>
      </w:tr>
    </w:tbl>
    <w:p/>
    <w:p>
      <w:pPr>
        <w:pStyle w:val="Heading1Custom"/>
        <w:spacing w:after="80" w:line="269" w:lineRule="auto"/>
      </w:pPr>
      <w:r>
        <w:t>7. Calculators and assistive meteorology</w:t>
      </w:r>
    </w:p>
    <w:p>
      <w:pPr>
        <w:spacing w:after="80" w:line="269" w:lineRule="auto"/>
      </w:pPr>
      <w:r>
        <w:t>The design assumes that only a very small number of calculators should be visible within the builder itself. This avoids clutter and preserves the operational character of the page.</w:t>
      </w:r>
    </w:p>
    <w:tbl>
      <w:tblPr>
        <w:tblW w:type="auto" w:w="0"/>
        <w:jc w:val="left"/>
        <w:tblLayout w:type="fixed"/>
        <w:tblLook w:firstColumn="1" w:firstRow="1" w:lastColumn="0" w:lastRow="0" w:noHBand="0" w:noVBand="1" w:val="04A0"/>
      </w:tblPr>
      <w:tblGrid>
        <w:gridCol w:w="2736"/>
        <w:gridCol w:w="4608"/>
        <w:gridCol w:w="3168"/>
      </w:tblGrid>
      <w:tr>
        <w:tc>
          <w:tcPr>
            <w:tcW w:type="dxa" w:w="3312"/>
            <w:shd w:fill="EEF0F1"/>
            <w:tcMar>
              <w:top w:w="90" w:type="dxa"/>
              <w:start w:w="100" w:type="dxa"/>
              <w:bottom w:w="90" w:type="dxa"/>
              <w:end w:w="100" w:type="dxa"/>
            </w:tcMar>
          </w:tcPr>
          <w:p>
            <w:r>
              <w:rPr>
                <w:b/>
              </w:rPr>
              <w:t>Calculator</w:t>
            </w:r>
          </w:p>
        </w:tc>
        <w:tc>
          <w:tcPr>
            <w:tcW w:type="dxa" w:w="3312"/>
            <w:shd w:fill="EEF0F1"/>
            <w:tcMar>
              <w:top w:w="90" w:type="dxa"/>
              <w:start w:w="100" w:type="dxa"/>
              <w:bottom w:w="90" w:type="dxa"/>
              <w:end w:w="100" w:type="dxa"/>
            </w:tcMar>
          </w:tcPr>
          <w:p>
            <w:r>
              <w:rPr>
                <w:b/>
              </w:rPr>
              <w:t>Role</w:t>
            </w:r>
          </w:p>
        </w:tc>
        <w:tc>
          <w:tcPr>
            <w:tcW w:type="dxa" w:w="3312"/>
            <w:shd w:fill="EEF0F1"/>
            <w:tcMar>
              <w:top w:w="90" w:type="dxa"/>
              <w:start w:w="100" w:type="dxa"/>
              <w:bottom w:w="90" w:type="dxa"/>
              <w:end w:w="100" w:type="dxa"/>
            </w:tcMar>
          </w:tcPr>
          <w:p>
            <w:r>
              <w:rPr>
                <w:b/>
              </w:rPr>
              <w:t>Population behaviour</w:t>
            </w:r>
          </w:p>
        </w:tc>
      </w:tr>
      <w:tr>
        <w:tc>
          <w:tcPr>
            <w:tcW w:type="dxa" w:w="2736"/>
            <w:tcMar>
              <w:top w:w="85" w:type="dxa"/>
              <w:start w:w="100" w:type="dxa"/>
              <w:bottom w:w="85" w:type="dxa"/>
              <w:end w:w="100" w:type="dxa"/>
            </w:tcMar>
          </w:tcPr>
          <w:p>
            <w:r>
              <w:t>Dew Point calculator</w:t>
            </w:r>
          </w:p>
        </w:tc>
        <w:tc>
          <w:tcPr>
            <w:tcW w:type="dxa" w:w="4608"/>
            <w:tcMar>
              <w:top w:w="85" w:type="dxa"/>
              <w:start w:w="100" w:type="dxa"/>
              <w:bottom w:w="85" w:type="dxa"/>
              <w:end w:w="100" w:type="dxa"/>
            </w:tcMar>
          </w:tcPr>
          <w:p>
            <w:r>
              <w:t>Visible next to the Dew Point field. Intended to derive dew point from dry bulb and wet bulb using saved station configuration where relevant. The result can auto-populate Temperature and Dew Point.</w:t>
            </w:r>
          </w:p>
        </w:tc>
        <w:tc>
          <w:tcPr>
            <w:tcW w:type="dxa" w:w="3168"/>
            <w:tcMar>
              <w:top w:w="85" w:type="dxa"/>
              <w:start w:w="100" w:type="dxa"/>
              <w:bottom w:w="85" w:type="dxa"/>
              <w:end w:w="100" w:type="dxa"/>
            </w:tcMar>
          </w:tcPr>
          <w:p>
            <w:r>
              <w:t>Auto-populate relevant field(s) once accepted by the user.</w:t>
            </w:r>
          </w:p>
        </w:tc>
      </w:tr>
      <w:tr>
        <w:tc>
          <w:tcPr>
            <w:tcW w:type="dxa" w:w="2736"/>
            <w:tcMar>
              <w:top w:w="85" w:type="dxa"/>
              <w:start w:w="100" w:type="dxa"/>
              <w:bottom w:w="85" w:type="dxa"/>
              <w:end w:w="100" w:type="dxa"/>
            </w:tcMar>
          </w:tcPr>
          <w:p>
            <w:r>
              <w:t>Convective cloud-base estimator</w:t>
            </w:r>
          </w:p>
        </w:tc>
        <w:tc>
          <w:tcPr>
            <w:tcW w:type="dxa" w:w="4608"/>
            <w:tcMar>
              <w:top w:w="85" w:type="dxa"/>
              <w:start w:w="100" w:type="dxa"/>
              <w:bottom w:w="85" w:type="dxa"/>
              <w:end w:w="100" w:type="dxa"/>
            </w:tcMar>
          </w:tcPr>
          <w:p>
            <w:r>
              <w:t>Visible next to cloud-layer height where relevant. Intended to estimate convective cloud height from temperature/dew-point spread. The result should be clearly treated as an estimate before insertion.</w:t>
            </w:r>
          </w:p>
        </w:tc>
        <w:tc>
          <w:tcPr>
            <w:tcW w:type="dxa" w:w="3168"/>
            <w:tcMar>
              <w:top w:w="85" w:type="dxa"/>
              <w:start w:w="100" w:type="dxa"/>
              <w:bottom w:w="85" w:type="dxa"/>
              <w:end w:w="100" w:type="dxa"/>
            </w:tcMar>
          </w:tcPr>
          <w:p>
            <w:r>
              <w:t>Auto-populate relevant field(s) once accepted by the user.</w:t>
            </w:r>
          </w:p>
        </w:tc>
      </w:tr>
      <w:tr>
        <w:tc>
          <w:tcPr>
            <w:tcW w:type="dxa" w:w="2736"/>
            <w:tcMar>
              <w:top w:w="85" w:type="dxa"/>
              <w:start w:w="100" w:type="dxa"/>
              <w:bottom w:w="85" w:type="dxa"/>
              <w:end w:w="100" w:type="dxa"/>
            </w:tcMar>
          </w:tcPr>
          <w:p>
            <w:r>
              <w:t>QNH calculator</w:t>
            </w:r>
          </w:p>
        </w:tc>
        <w:tc>
          <w:tcPr>
            <w:tcW w:type="dxa" w:w="4608"/>
            <w:tcMar>
              <w:top w:w="85" w:type="dxa"/>
              <w:start w:w="100" w:type="dxa"/>
              <w:bottom w:w="85" w:type="dxa"/>
              <w:end w:w="100" w:type="dxa"/>
            </w:tcMar>
          </w:tcPr>
          <w:p>
            <w:r>
              <w:t>Visible next to the QNH field. Intended to derive QNH from measured pressure plus saved station constants and reduction settings. The result can auto-populate the QNH field.</w:t>
            </w:r>
          </w:p>
        </w:tc>
        <w:tc>
          <w:tcPr>
            <w:tcW w:type="dxa" w:w="3168"/>
            <w:tcMar>
              <w:top w:w="85" w:type="dxa"/>
              <w:start w:w="100" w:type="dxa"/>
              <w:bottom w:w="85" w:type="dxa"/>
              <w:end w:w="100" w:type="dxa"/>
            </w:tcMar>
          </w:tcPr>
          <w:p>
            <w:r>
              <w:t>Auto-populate relevant field(s) once accepted by the user.</w:t>
            </w:r>
          </w:p>
        </w:tc>
      </w:tr>
    </w:tbl>
    <w:p/>
    <w:p>
      <w:pPr>
        <w:pStyle w:val="SmallNote"/>
        <w:spacing w:after="80" w:line="269" w:lineRule="auto"/>
      </w:pPr>
      <w:r>
        <w:t>A note of caution remains important for the calculators. Dew point and QNH should be treated as formal calculations with explicit rounding and method choice. Convective cloud height is better treated as a practical estimate rather than an observed truth. The UI should reflect that distinction.</w:t>
      </w:r>
    </w:p>
    <w:p>
      <w:pPr>
        <w:pStyle w:val="Heading1Custom"/>
        <w:spacing w:after="80" w:line="269" w:lineRule="auto"/>
      </w:pPr>
      <w:r>
        <w:t>8. Rounding and reporting behaviour</w:t>
      </w:r>
    </w:p>
    <w:p>
      <w:pPr>
        <w:spacing w:after="80" w:line="269" w:lineRule="auto"/>
      </w:pPr>
      <w:r>
        <w:t>The design discussion has already identified that rounding behaviour must not be left implicit. At minimum, the implementation should codify the known reporting rules for temperature, dew point, QNH, and any other fields that require step-based reporting.</w:t>
      </w:r>
    </w:p>
    <w:tbl>
      <w:tblPr>
        <w:tblW w:type="auto" w:w="0"/>
        <w:jc w:val="left"/>
        <w:tblLayout w:type="fixed"/>
        <w:tblLook w:firstColumn="1" w:firstRow="1" w:lastColumn="0" w:lastRow="0" w:noHBand="0" w:noVBand="1" w:val="04A0"/>
      </w:tblPr>
      <w:tblGrid>
        <w:gridCol w:w="2880"/>
        <w:gridCol w:w="7632"/>
      </w:tblGrid>
      <w:tr>
        <w:tc>
          <w:tcPr>
            <w:tcW w:type="dxa" w:w="4968"/>
            <w:shd w:fill="EEF0F1"/>
            <w:tcMar>
              <w:top w:w="90" w:type="dxa"/>
              <w:start w:w="100" w:type="dxa"/>
              <w:bottom w:w="90" w:type="dxa"/>
              <w:end w:w="100" w:type="dxa"/>
            </w:tcMar>
          </w:tcPr>
          <w:p>
            <w:r>
              <w:rPr>
                <w:b/>
              </w:rPr>
              <w:t>Field</w:t>
            </w:r>
          </w:p>
        </w:tc>
        <w:tc>
          <w:tcPr>
            <w:tcW w:type="dxa" w:w="4968"/>
            <w:shd w:fill="EEF0F1"/>
            <w:tcMar>
              <w:top w:w="90" w:type="dxa"/>
              <w:start w:w="100" w:type="dxa"/>
              <w:bottom w:w="90" w:type="dxa"/>
              <w:end w:w="100" w:type="dxa"/>
            </w:tcMar>
          </w:tcPr>
          <w:p>
            <w:r>
              <w:rPr>
                <w:b/>
              </w:rPr>
              <w:t>Rounding intent</w:t>
            </w:r>
          </w:p>
        </w:tc>
      </w:tr>
      <w:tr>
        <w:tc>
          <w:tcPr>
            <w:tcW w:type="dxa" w:w="2880"/>
            <w:tcMar>
              <w:top w:w="85" w:type="dxa"/>
              <w:start w:w="100" w:type="dxa"/>
              <w:bottom w:w="85" w:type="dxa"/>
              <w:end w:w="100" w:type="dxa"/>
            </w:tcMar>
          </w:tcPr>
          <w:p>
            <w:r>
              <w:t>Temperature / dew point</w:t>
            </w:r>
          </w:p>
        </w:tc>
        <w:tc>
          <w:tcPr>
            <w:tcW w:type="dxa" w:w="7632"/>
            <w:tcMar>
              <w:top w:w="85" w:type="dxa"/>
              <w:start w:w="100" w:type="dxa"/>
              <w:bottom w:w="85" w:type="dxa"/>
              <w:end w:w="100" w:type="dxa"/>
            </w:tcMar>
          </w:tcPr>
          <w:p>
            <w:r>
              <w:t>Whole degrees Celsius. Values of .5 or greater round up to the next warmer whole degree.</w:t>
            </w:r>
          </w:p>
        </w:tc>
      </w:tr>
      <w:tr>
        <w:tc>
          <w:tcPr>
            <w:tcW w:type="dxa" w:w="2880"/>
            <w:tcMar>
              <w:top w:w="85" w:type="dxa"/>
              <w:start w:w="100" w:type="dxa"/>
              <w:bottom w:w="85" w:type="dxa"/>
              <w:end w:w="100" w:type="dxa"/>
            </w:tcMar>
          </w:tcPr>
          <w:p>
            <w:r>
              <w:t>QNH</w:t>
            </w:r>
          </w:p>
        </w:tc>
        <w:tc>
          <w:tcPr>
            <w:tcW w:type="dxa" w:w="7632"/>
            <w:tcMar>
              <w:top w:w="85" w:type="dxa"/>
              <w:start w:w="100" w:type="dxa"/>
              <w:bottom w:w="85" w:type="dxa"/>
              <w:end w:w="100" w:type="dxa"/>
            </w:tcMar>
          </w:tcPr>
          <w:p>
            <w:r>
              <w:t>Whole hPa using the agreed pressure-reduction method and reporting rule.</w:t>
            </w:r>
          </w:p>
        </w:tc>
      </w:tr>
      <w:tr>
        <w:tc>
          <w:tcPr>
            <w:tcW w:type="dxa" w:w="2880"/>
            <w:tcMar>
              <w:top w:w="85" w:type="dxa"/>
              <w:start w:w="100" w:type="dxa"/>
              <w:bottom w:w="85" w:type="dxa"/>
              <w:end w:w="100" w:type="dxa"/>
            </w:tcMar>
          </w:tcPr>
          <w:p>
            <w:r>
              <w:t>Cloud-base estimate</w:t>
            </w:r>
          </w:p>
        </w:tc>
        <w:tc>
          <w:tcPr>
            <w:tcW w:type="dxa" w:w="7632"/>
            <w:tcMar>
              <w:top w:w="85" w:type="dxa"/>
              <w:start w:w="100" w:type="dxa"/>
              <w:bottom w:w="85" w:type="dxa"/>
              <w:end w:w="100" w:type="dxa"/>
            </w:tcMar>
          </w:tcPr>
          <w:p>
            <w:r>
              <w:t>Estimate expressed in the step appropriate to the cloud-base reporting logic.</w:t>
            </w:r>
          </w:p>
        </w:tc>
      </w:tr>
    </w:tbl>
    <w:p/>
    <w:p>
      <w:pPr>
        <w:pStyle w:val="Heading1Custom"/>
        <w:spacing w:after="80" w:line="269" w:lineRule="auto"/>
      </w:pPr>
      <w:r>
        <w:t>9. Admin &gt; Meteorology concept</w:t>
      </w:r>
    </w:p>
    <w:p>
      <w:pPr>
        <w:spacing w:after="80" w:line="269" w:lineRule="auto"/>
      </w:pPr>
      <w:r>
        <w:t>The calculators should not rely on the user entering all station constants every time. Instead, the design includes an Admin &gt; Meteorology area where the local unit stores the persistent values required for repeatable calculations and display behaviour.</w:t>
      </w:r>
    </w:p>
    <w:p>
      <w:pPr>
        <w:pStyle w:val="Heading2Custom"/>
        <w:spacing w:after="80" w:line="269" w:lineRule="auto"/>
      </w:pPr>
      <w:r>
        <w:t>Station constants</w:t>
      </w:r>
    </w:p>
    <w:p>
      <w:pPr>
        <w:spacing w:after="80" w:line="269" w:lineRule="auto"/>
      </w:pPr>
      <w:r>
        <w:t>Examples: aerodrome elevation, barometer height, and any other fixed site values needed for pressure work.</w:t>
      </w:r>
    </w:p>
    <w:p>
      <w:pPr>
        <w:pStyle w:val="Heading2Custom"/>
        <w:spacing w:after="80" w:line="269" w:lineRule="auto"/>
      </w:pPr>
      <w:r>
        <w:t>Pressure reduction settings</w:t>
      </w:r>
    </w:p>
    <w:p>
      <w:pPr>
        <w:spacing w:after="80" w:line="269" w:lineRule="auto"/>
      </w:pPr>
      <w:r>
        <w:t>Configuration of the pressure source and the method assumptions used by the QNH calculator.</w:t>
      </w:r>
    </w:p>
    <w:p>
      <w:pPr>
        <w:pStyle w:val="Heading2Custom"/>
        <w:spacing w:after="80" w:line="269" w:lineRule="auto"/>
      </w:pPr>
      <w:r>
        <w:t>METAR section visibility</w:t>
      </w:r>
    </w:p>
    <w:p>
      <w:pPr>
        <w:spacing w:after="80" w:line="269" w:lineRule="auto"/>
      </w:pPr>
      <w:r>
        <w:t>Per-section enable/disable controls so the builder only shows the report groups actually used by the unit.</w:t>
      </w:r>
    </w:p>
    <w:p>
      <w:pPr>
        <w:pStyle w:val="Heading2Custom"/>
        <w:spacing w:after="80" w:line="269" w:lineRule="auto"/>
      </w:pPr>
      <w:r>
        <w:t>Conversion preferences</w:t>
      </w:r>
    </w:p>
    <w:p>
      <w:pPr>
        <w:spacing w:after="80" w:line="269" w:lineRule="auto"/>
      </w:pPr>
      <w:r>
        <w:t>Definition of which alternate units are shown to the user alongside the canonical input units.</w:t>
      </w:r>
    </w:p>
    <w:p>
      <w:pPr>
        <w:pStyle w:val="Heading2Custom"/>
        <w:spacing w:after="80" w:line="269" w:lineRule="auto"/>
      </w:pPr>
      <w:r>
        <w:t>Rounding behaviour notes</w:t>
      </w:r>
    </w:p>
    <w:p>
      <w:pPr>
        <w:spacing w:after="80" w:line="269" w:lineRule="auto"/>
      </w:pPr>
      <w:r>
        <w:t>Documented rules used by calculators and field formatting so operators understand what the system is doing.</w:t>
      </w:r>
    </w:p>
    <w:p>
      <w:pPr>
        <w:pStyle w:val="Heading1Custom"/>
        <w:spacing w:after="80" w:line="269" w:lineRule="auto"/>
      </w:pPr>
      <w:r>
        <w:t>10. Section visibility controls</w:t>
      </w:r>
    </w:p>
    <w:p>
      <w:pPr>
        <w:spacing w:after="80" w:line="269" w:lineRule="auto"/>
      </w:pPr>
      <w:r>
        <w:t>The design now includes the ability to enable or suppress constituent METAR sections from Admin. This means the builder can be adapted to local practice without rewriting the UI. If a section is disabled in Admin, it should be hidden in the builder, excluded from validation, and omitted from the output preview.</w:t>
      </w:r>
    </w:p>
    <w:p>
      <w:pPr>
        <w:spacing w:after="80" w:line="269" w:lineRule="auto"/>
      </w:pPr>
      <w:r>
        <w:t>This is especially useful for groups such as RVR, recent weather, wind shear, runway state, and any civil/military-specific sections that may not always be required.</w:t>
      </w:r>
    </w:p>
    <w:p>
      <w:pPr>
        <w:pStyle w:val="Heading1Custom"/>
        <w:spacing w:after="80" w:line="269" w:lineRule="auto"/>
      </w:pPr>
      <w:r>
        <w:t>11. Unit conversion mechanism</w:t>
      </w:r>
    </w:p>
    <w:p>
      <w:pPr>
        <w:spacing w:after="80" w:line="269" w:lineRule="auto"/>
      </w:pPr>
      <w:r>
        <w:t>The conversion concept is deliberately conservative. Canonical inputs remain in the primary UK / METAR unit system. Alternate units are shown as secondary readouts only. This avoids contaminating the reporting logic while still making it possible to answer ad hoc requests for information in another unit system.</w:t>
      </w:r>
    </w:p>
    <w:tbl>
      <w:tblPr>
        <w:tblW w:type="auto" w:w="0"/>
        <w:jc w:val="left"/>
        <w:tblLayout w:type="fixed"/>
        <w:tblLook w:firstColumn="1" w:firstRow="1" w:lastColumn="0" w:lastRow="0" w:noHBand="0" w:noVBand="1" w:val="04A0"/>
      </w:tblPr>
      <w:tblGrid>
        <w:gridCol w:w="2880"/>
        <w:gridCol w:w="3168"/>
        <w:gridCol w:w="4464"/>
      </w:tblGrid>
      <w:tr>
        <w:tc>
          <w:tcPr>
            <w:tcW w:type="dxa" w:w="3312"/>
            <w:shd w:fill="EEF0F1"/>
            <w:tcMar>
              <w:top w:w="90" w:type="dxa"/>
              <w:start w:w="100" w:type="dxa"/>
              <w:bottom w:w="90" w:type="dxa"/>
              <w:end w:w="100" w:type="dxa"/>
            </w:tcMar>
          </w:tcPr>
          <w:p>
            <w:r>
              <w:rPr>
                <w:b/>
              </w:rPr>
              <w:t>Data type</w:t>
            </w:r>
          </w:p>
        </w:tc>
        <w:tc>
          <w:tcPr>
            <w:tcW w:type="dxa" w:w="3312"/>
            <w:shd w:fill="EEF0F1"/>
            <w:tcMar>
              <w:top w:w="90" w:type="dxa"/>
              <w:start w:w="100" w:type="dxa"/>
              <w:bottom w:w="90" w:type="dxa"/>
              <w:end w:w="100" w:type="dxa"/>
            </w:tcMar>
          </w:tcPr>
          <w:p>
            <w:r>
              <w:rPr>
                <w:b/>
              </w:rPr>
              <w:t>Canonical entry / storage</w:t>
            </w:r>
          </w:p>
        </w:tc>
        <w:tc>
          <w:tcPr>
            <w:tcW w:type="dxa" w:w="3312"/>
            <w:shd w:fill="EEF0F1"/>
            <w:tcMar>
              <w:top w:w="90" w:type="dxa"/>
              <w:start w:w="100" w:type="dxa"/>
              <w:bottom w:w="90" w:type="dxa"/>
              <w:end w:w="100" w:type="dxa"/>
            </w:tcMar>
          </w:tcPr>
          <w:p>
            <w:r>
              <w:rPr>
                <w:b/>
              </w:rPr>
              <w:t>Alternate display example</w:t>
            </w:r>
          </w:p>
        </w:tc>
      </w:tr>
      <w:tr>
        <w:tc>
          <w:tcPr>
            <w:tcW w:type="dxa" w:w="2880"/>
            <w:tcMar>
              <w:top w:w="85" w:type="dxa"/>
              <w:start w:w="100" w:type="dxa"/>
              <w:bottom w:w="85" w:type="dxa"/>
              <w:end w:w="100" w:type="dxa"/>
            </w:tcMar>
          </w:tcPr>
          <w:p>
            <w:r>
              <w:t>Pressure</w:t>
            </w:r>
          </w:p>
        </w:tc>
        <w:tc>
          <w:tcPr>
            <w:tcW w:type="dxa" w:w="3168"/>
            <w:tcMar>
              <w:top w:w="85" w:type="dxa"/>
              <w:start w:w="100" w:type="dxa"/>
              <w:bottom w:w="85" w:type="dxa"/>
              <w:end w:w="100" w:type="dxa"/>
            </w:tcMar>
          </w:tcPr>
          <w:p>
            <w:r>
              <w:t>hPa</w:t>
            </w:r>
          </w:p>
        </w:tc>
        <w:tc>
          <w:tcPr>
            <w:tcW w:type="dxa" w:w="4464"/>
            <w:tcMar>
              <w:top w:w="85" w:type="dxa"/>
              <w:start w:w="100" w:type="dxa"/>
              <w:bottom w:w="85" w:type="dxa"/>
              <w:end w:w="100" w:type="dxa"/>
            </w:tcMar>
          </w:tcPr>
          <w:p>
            <w:r>
              <w:t>mb</w:t>
            </w:r>
          </w:p>
        </w:tc>
      </w:tr>
      <w:tr>
        <w:tc>
          <w:tcPr>
            <w:tcW w:type="dxa" w:w="2880"/>
            <w:tcMar>
              <w:top w:w="85" w:type="dxa"/>
              <w:start w:w="100" w:type="dxa"/>
              <w:bottom w:w="85" w:type="dxa"/>
              <w:end w:w="100" w:type="dxa"/>
            </w:tcMar>
          </w:tcPr>
          <w:p>
            <w:r>
              <w:t>Wind</w:t>
            </w:r>
          </w:p>
        </w:tc>
        <w:tc>
          <w:tcPr>
            <w:tcW w:type="dxa" w:w="3168"/>
            <w:tcMar>
              <w:top w:w="85" w:type="dxa"/>
              <w:start w:w="100" w:type="dxa"/>
              <w:bottom w:w="85" w:type="dxa"/>
              <w:end w:w="100" w:type="dxa"/>
            </w:tcMar>
          </w:tcPr>
          <w:p>
            <w:r>
              <w:t>kt</w:t>
            </w:r>
          </w:p>
        </w:tc>
        <w:tc>
          <w:tcPr>
            <w:tcW w:type="dxa" w:w="4464"/>
            <w:tcMar>
              <w:top w:w="85" w:type="dxa"/>
              <w:start w:w="100" w:type="dxa"/>
              <w:bottom w:w="85" w:type="dxa"/>
              <w:end w:w="100" w:type="dxa"/>
            </w:tcMar>
          </w:tcPr>
          <w:p>
            <w:r>
              <w:t>m/s</w:t>
            </w:r>
          </w:p>
        </w:tc>
      </w:tr>
      <w:tr>
        <w:tc>
          <w:tcPr>
            <w:tcW w:type="dxa" w:w="2880"/>
            <w:tcMar>
              <w:top w:w="85" w:type="dxa"/>
              <w:start w:w="100" w:type="dxa"/>
              <w:bottom w:w="85" w:type="dxa"/>
              <w:end w:w="100" w:type="dxa"/>
            </w:tcMar>
          </w:tcPr>
          <w:p>
            <w:r>
              <w:t>Visibility / RVR</w:t>
            </w:r>
          </w:p>
        </w:tc>
        <w:tc>
          <w:tcPr>
            <w:tcW w:type="dxa" w:w="3168"/>
            <w:tcMar>
              <w:top w:w="85" w:type="dxa"/>
              <w:start w:w="100" w:type="dxa"/>
              <w:bottom w:w="85" w:type="dxa"/>
              <w:end w:w="100" w:type="dxa"/>
            </w:tcMar>
          </w:tcPr>
          <w:p>
            <w:r>
              <w:t>m</w:t>
            </w:r>
          </w:p>
        </w:tc>
        <w:tc>
          <w:tcPr>
            <w:tcW w:type="dxa" w:w="4464"/>
            <w:tcMar>
              <w:top w:w="85" w:type="dxa"/>
              <w:start w:w="100" w:type="dxa"/>
              <w:bottom w:w="85" w:type="dxa"/>
              <w:end w:w="100" w:type="dxa"/>
            </w:tcMar>
          </w:tcPr>
          <w:p>
            <w:r>
              <w:t>NM</w:t>
            </w:r>
          </w:p>
        </w:tc>
      </w:tr>
      <w:tr>
        <w:tc>
          <w:tcPr>
            <w:tcW w:type="dxa" w:w="2880"/>
            <w:tcMar>
              <w:top w:w="85" w:type="dxa"/>
              <w:start w:w="100" w:type="dxa"/>
              <w:bottom w:w="85" w:type="dxa"/>
              <w:end w:w="100" w:type="dxa"/>
            </w:tcMar>
          </w:tcPr>
          <w:p>
            <w:r>
              <w:t>Temperature</w:t>
            </w:r>
          </w:p>
        </w:tc>
        <w:tc>
          <w:tcPr>
            <w:tcW w:type="dxa" w:w="3168"/>
            <w:tcMar>
              <w:top w:w="85" w:type="dxa"/>
              <w:start w:w="100" w:type="dxa"/>
              <w:bottom w:w="85" w:type="dxa"/>
              <w:end w:w="100" w:type="dxa"/>
            </w:tcMar>
          </w:tcPr>
          <w:p>
            <w:r>
              <w:t>°C</w:t>
            </w:r>
          </w:p>
        </w:tc>
        <w:tc>
          <w:tcPr>
            <w:tcW w:type="dxa" w:w="4464"/>
            <w:tcMar>
              <w:top w:w="85" w:type="dxa"/>
              <w:start w:w="100" w:type="dxa"/>
              <w:bottom w:w="85" w:type="dxa"/>
              <w:end w:w="100" w:type="dxa"/>
            </w:tcMar>
          </w:tcPr>
          <w:p>
            <w:r>
              <w:t>°F</w:t>
            </w:r>
          </w:p>
        </w:tc>
      </w:tr>
    </w:tbl>
    <w:p/>
    <w:p>
      <w:pPr>
        <w:spacing w:after="80" w:line="269" w:lineRule="auto"/>
      </w:pPr>
      <w:r>
        <w:t>The intended behaviour is therefore: input and storage stay canonical; converted values appear as optional helper readouts or top-level display aids; and calculator modals may use the saved preference system while still writing back to the canonical field basis.</w:t>
      </w:r>
    </w:p>
    <w:p>
      <w:pPr>
        <w:pStyle w:val="Heading1Custom"/>
        <w:spacing w:after="80" w:line="269" w:lineRule="auto"/>
      </w:pPr>
      <w:r>
        <w:t>12. Visual and UX direction</w:t>
      </w:r>
    </w:p>
    <w:p>
      <w:pPr>
        <w:spacing w:after="80" w:line="269" w:lineRule="auto"/>
      </w:pPr>
      <w:r>
        <w:t>The visual treatment is intended to remain recognisably Flite. The current concept uses subdued panel styling, compact operational spacing, and grouped sections rather than highly expressive cards. The earlier design iterations showed that excessive density made the interface feel more like a data administration panel than an operational drafting tool, so the preferred direction is compact but not cramped.</w:t>
      </w:r>
    </w:p>
    <w:p>
      <w:pPr>
        <w:spacing w:after="80" w:line="269" w:lineRule="auto"/>
      </w:pPr>
      <w:r>
        <w:t>The page should therefore feel like an aviation operations utility rather than a generic web form or an instructional worksheet.</w:t>
      </w:r>
    </w:p>
    <w:p>
      <w:pPr>
        <w:pStyle w:val="Heading1Custom"/>
        <w:spacing w:after="80" w:line="269" w:lineRule="auto"/>
      </w:pPr>
      <w:r>
        <w:t>13. Open technical decisions still to be resolved</w:t>
      </w:r>
    </w:p>
    <w:p>
      <w:pPr>
        <w:ind w:left="259" w:hanging="230"/>
      </w:pPr>
      <w:r>
        <w:rPr>
          <w:b/>
        </w:rPr>
        <w:t xml:space="preserve">• </w:t>
      </w:r>
      <w:r>
        <w:t>The exact scientific method to be used for the dew point calculator.</w:t>
      </w:r>
    </w:p>
    <w:p>
      <w:pPr>
        <w:ind w:left="259" w:hanging="230"/>
      </w:pPr>
      <w:r>
        <w:rPr>
          <w:b/>
        </w:rPr>
        <w:t xml:space="preserve">• </w:t>
      </w:r>
      <w:r>
        <w:t>The exact pressure-reduction model and input assumptions for the QNH calculator.</w:t>
      </w:r>
    </w:p>
    <w:p>
      <w:pPr>
        <w:ind w:left="259" w:hanging="230"/>
      </w:pPr>
      <w:r>
        <w:rPr>
          <w:b/>
        </w:rPr>
        <w:t xml:space="preserve">• </w:t>
      </w:r>
      <w:r>
        <w:t>The precise list of METAR groups that are always core, always optional, or mode-dependent.</w:t>
      </w:r>
    </w:p>
    <w:p>
      <w:pPr>
        <w:ind w:left="259" w:hanging="230"/>
      </w:pPr>
      <w:r>
        <w:rPr>
          <w:b/>
        </w:rPr>
        <w:t xml:space="preserve">• </w:t>
      </w:r>
      <w:r>
        <w:t>The extent to which convective cloud-base estimates may be inserted directly versus flagged as advisory only.</w:t>
      </w:r>
    </w:p>
    <w:p>
      <w:pPr>
        <w:ind w:left="259" w:hanging="230"/>
      </w:pPr>
      <w:r>
        <w:rPr>
          <w:b/>
        </w:rPr>
        <w:t xml:space="preserve">• </w:t>
      </w:r>
      <w:r>
        <w:t>The final rounding specification for all calculated and displayed values.</w:t>
      </w:r>
    </w:p>
    <w:p>
      <w:pPr>
        <w:pStyle w:val="Heading1Custom"/>
        <w:spacing w:after="80" w:line="269" w:lineRule="auto"/>
      </w:pPr>
      <w:r>
        <w:t>14. Recommended next step when implementation begins</w:t>
      </w:r>
    </w:p>
    <w:p>
      <w:pPr>
        <w:spacing w:after="80" w:line="269" w:lineRule="auto"/>
      </w:pPr>
      <w:r>
        <w:t>When this concept is taken forward into the program, the cleanest implementation sequence is likely to be: (1) establish Admin &gt; Meteorology data structures and defaults, (2) build the section-visibility framework, (3) build the canonical METAR section UI in output order, (4) implement hard-stop validation, and only then (5) layer in the dew point, convective cloud, and QNH calculators.</w:t>
      </w:r>
    </w:p>
    <w:p>
      <w:pPr>
        <w:spacing w:after="80" w:line="269" w:lineRule="auto"/>
      </w:pPr>
      <w:r>
        <w:t>That sequence keeps the builder usable early while avoiding calculator logic being written into an unstable UI foundation.</w:t>
      </w:r>
    </w:p>
    <w:p/>
    <w:p>
      <w:pPr>
        <w:pStyle w:val="SmallNote"/>
        <w:spacing w:after="80" w:line="269" w:lineRule="auto"/>
      </w:pPr>
      <w:r>
        <w:t>Prepared as a design baseline for future implementation into Vectair Flite.</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Display" w:hAnsi="Aptos Display"/>
      <w:b/>
      <w:color w:val="6C451D"/>
      <w:sz w:val="44"/>
    </w:rPr>
  </w:style>
  <w:style w:type="paragraph" w:customStyle="1" w:styleId="SubtitleCustom">
    <w:name w:val="SubtitleCustom"/>
    <w:basedOn w:val="Normal"/>
    <w:rPr>
      <w:rFonts w:ascii="Aptos" w:hAnsi="Aptos"/>
      <w:i/>
      <w:color w:val="5A646B"/>
      <w:sz w:val="20"/>
    </w:rPr>
  </w:style>
  <w:style w:type="paragraph" w:customStyle="1" w:styleId="Heading1Custom">
    <w:name w:val="Heading1Custom"/>
    <w:basedOn w:val="Normal"/>
    <w:rPr>
      <w:rFonts w:ascii="Aptos" w:hAnsi="Aptos"/>
      <w:b/>
      <w:color w:val="5A646B"/>
      <w:sz w:val="28"/>
    </w:rPr>
  </w:style>
  <w:style w:type="paragraph" w:customStyle="1" w:styleId="Heading2Custom">
    <w:name w:val="Heading2Custom"/>
    <w:basedOn w:val="Normal"/>
    <w:rPr>
      <w:rFonts w:ascii="Aptos" w:hAnsi="Aptos"/>
      <w:b/>
      <w:color w:val="6C451D"/>
      <w:sz w:val="23"/>
    </w:rPr>
  </w:style>
  <w:style w:type="paragraph" w:customStyle="1" w:styleId="SmallNote">
    <w:name w:val="SmallNote"/>
    <w:basedOn w:val="Normal"/>
    <w:rPr>
      <w:color w:val="5F697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