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4"/>
        </w:rPr>
        <w:t>rna2metabolite (AML): RNA → metabolite imputation</w:t>
      </w:r>
    </w:p>
    <w:p>
      <w:r>
        <w:t>CPTAC AML proteogenomic cohort (Nature Cancer 2026). One regularized linear model per metabolite predicts its abundance from bulk RNA-seq; accuracy is the honest out-of-fold value from 5-fold cross-validation. Prediction is a per-molecule function of gene expression (not a per-sample neighbor lookup): on held-out CV it outperforms k-NN retrieval on the same genes.</w:t>
      </w:r>
    </w:p>
    <w:p>
      <w:r>
        <w:rPr>
          <w:b/>
          <w:color w:val="1F3A5F"/>
          <w:sz w:val="26"/>
        </w:rPr>
        <w:t>Data and features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unique metabolites (best-detected per molecule)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2,533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RNA-matched AML 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RNA universe (protein-coding, TPM≥5 in ≥3 cases)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12,416 genes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genes per molecule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mechanistic prior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Recon3D reaction→gene (GPR); 144/2,533 mapped, rest correlation-driven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normalization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CP10k+log1p (all-gene library size); per-gene z-score (train μ/σ)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estimator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per-molecule ridge (ElasticNet l1_ratio=0), α=100</w:t>
            </w:r>
          </w:p>
        </w:tc>
      </w:tr>
    </w:tbl>
    <w:p>
      <w:r>
        <w:rPr>
          <w:b/>
          <w:color w:val="1F3A5F"/>
          <w:sz w:val="26"/>
        </w:rPr>
        <w:t>Held-out performance (5-fold CV)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evaluable metabolites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2,478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median Spearman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0.267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imputable (Spearman &gt; 0.3)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1,084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strong (Spearman &gt; 0.5)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median R²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-0.086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classification acc / AUROC (imputable)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0.663 / 0.718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classification acc / AUROC (all)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0.590 / 0.631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within-subtype Spearman (imputable; confound check)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median between-subtype variance fraction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0.136</w:t>
            </w:r>
          </w:p>
        </w:tc>
      </w:tr>
    </w:tbl>
    <w:p>
      <w:r>
        <w:t>In-sample selection inflates correlation (median 0.97); the out-of-fold median of 0.27 is what generalizes to unseen patients. Only 14% of MS variance is between molecular subtype, and imputable metabolites retain a within-subtype Spearman of 0.31 — the model predicts within-subtype biology, not just subtype identity.</w:t>
      </w:r>
    </w:p>
    <w:p>
      <w:r>
        <w:rPr>
          <w:b/>
          <w:color w:val="1F3A5F"/>
          <w:sz w:val="26"/>
        </w:rPr>
        <w:t>Figure 1. Descriptive overview</w:t>
      </w:r>
    </w:p>
    <w:p>
      <w:r>
        <w:drawing>
          <wp:inline xmlns:a="http://schemas.openxmlformats.org/drawingml/2006/main" xmlns:pic="http://schemas.openxmlformats.org/drawingml/2006/picture">
            <wp:extent cx="6309360" cy="3869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etabolite_re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69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(A) Distribution of per-molecule held-out Spearman (median red; 0.3/0.5 dashed). (B) In-sample vs out-of-fold Spearman — the gap is selection overfit removed by CV. (C) Held-out high/low abundance classification AUROC. (D–F) Predicted vs measured for the three best-imputed molecules (red = linear fit).</w:t>
      </w:r>
    </w:p>
    <w:p>
      <w:r>
        <w:rPr>
          <w:b/>
          <w:color w:val="1F3A5F"/>
          <w:sz w:val="26"/>
        </w:rPr>
        <w:t>Deployment</w:t>
      </w:r>
    </w:p>
    <w:p>
      <w:r>
        <w:t>Applied to the UDON RNA pseudobulks (pseudobulk_counts_hashed.h5ad; 12,255 pseudobulks × 35,702 symbol genes). Output: pseudobulk_imputed_metabolite_aml.h5ad (12,255 × 2,486); X = imputed abundance, obs copied verbatim from the RNA h5ad, var carries per-molecule held-out Spearman/R² and the genes used. Filter molecules by var['heldout_spearman'] and small pseudobulks by obs['n_cells']; the bulk-trained model is applied to scRNA pseudobulks, so absolute values can extrapolate — relative/rank use within the dataset is reliable.</w:t>
      </w:r>
    </w:p>
    <w:p>
      <w:r>
        <w:rPr>
          <w:b/>
          <w:color w:val="1F3A5F"/>
          <w:sz w:val="26"/>
        </w:rPr>
        <w:t>Methods (summary)</w:t>
      </w:r>
    </w:p>
    <w:p>
      <w:pPr>
        <w:pStyle w:val="ListBullet"/>
      </w:pPr>
      <w:r>
        <w:t>Targets: untargeted MS features collapsed to one best-detected measurement per molecule (detection rate, then median signal).</w:t>
      </w:r>
    </w:p>
    <w:p>
      <w:pPr>
        <w:pStyle w:val="ListBullet"/>
      </w:pPr>
      <w:r>
        <w:t>Per-molecule feature set: mechanistic-prior genes ranked by within-fold |Spearman| with the measured target taken first, then filled to 1000 with top genome-wide correlated genes; no HVG. All selection/standardization is within the training fold (leakage-free).</w:t>
      </w:r>
    </w:p>
    <w:p>
      <w:pPr>
        <w:pStyle w:val="ListBullet"/>
      </w:pPr>
      <w:r>
        <w:t>Estimator: ridge (α=100); 5-fold CV over cases; out-of-fold predictions scored per molecule (Spearman/Pearson/R²) vs a cohort-mean baseline.</w:t>
      </w:r>
    </w:p>
    <w:p>
      <w:r>
        <w:rPr>
          <w:b/>
          <w:color w:val="1F3A5F"/>
          <w:sz w:val="26"/>
        </w:rPr>
        <w:t>Limitations</w:t>
      </w:r>
    </w:p>
    <w:p>
      <w:pPr>
        <w:pStyle w:val="ListBullet"/>
      </w:pPr>
      <w:r>
        <w:t>Internal CV only (no external matched RNA+MS cohort).</w:t>
      </w:r>
    </w:p>
    <w:p>
      <w:pPr>
        <w:pStyle w:val="ListBullet"/>
      </w:pPr>
      <w:r>
        <w:t>84 cases bound power; the imputable subset is what survives.</w:t>
      </w:r>
    </w:p>
    <w:p>
      <w:pPr>
        <w:pStyle w:val="ListBullet"/>
      </w:pPr>
      <w:r>
        <w:t>Cell-composition/blast-% confounds (Table13 deconvolution) not yet regressed out.</w:t>
      </w:r>
    </w:p>
    <w:p>
      <w:pPr>
        <w:pStyle w:val="ListBullet"/>
      </w:pPr>
      <w:r>
        <w:t>High-gene configs gain accuracy partly via myeloid cell-content genes rather than biosynthetic enzymes — accuracy vs mechanism trade-off.</w:t>
      </w:r>
    </w:p>
    <w:p>
      <w:r>
        <w:rPr>
          <w:b/>
          <w:color w:val="1F3A5F"/>
          <w:sz w:val="26"/>
        </w:rPr>
        <w:t>Files</w:t>
      </w:r>
    </w:p>
    <w:p>
      <w:pPr>
        <w:pStyle w:val="ListBullet"/>
      </w:pPr>
      <w:r>
        <w:t>models/rna2metabolite_aml.pkl — deployable model</w:t>
      </w:r>
    </w:p>
    <w:p>
      <w:pPr>
        <w:pStyle w:val="ListBullet"/>
      </w:pPr>
      <w:r>
        <w:t>reports/impute_metab_per_target.csv — per-molecule held-out metrics + genes</w:t>
      </w:r>
    </w:p>
    <w:p>
      <w:pPr>
        <w:pStyle w:val="ListBullet"/>
      </w:pPr>
      <w:r>
        <w:t>reports/fig_metabolite_report.pdf/.png — Figure 1</w:t>
      </w:r>
    </w:p>
    <w:p>
      <w:pPr>
        <w:pStyle w:val="ListBullet"/>
      </w:pPr>
      <w:r>
        <w:t>…/final/pseudobulk/pseudobulk_imputed_metabolite_aml.h5ad — imputed pseudobulk h5ad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