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619F" w14:textId="28B0351F" w:rsidR="006C3883" w:rsidRDefault="00000000" w:rsidP="00223FF5">
      <w:pPr>
        <w:spacing w:after="160" w:line="276" w:lineRule="auto"/>
        <w:jc w:val="both"/>
      </w:pPr>
      <w:r>
        <w:rPr>
          <w:b/>
          <w:bCs/>
          <w:sz w:val="32"/>
          <w:szCs w:val="32"/>
        </w:rPr>
        <w:t>BOLT</w:t>
      </w:r>
      <w:r w:rsidR="00223FF5">
        <w:rPr>
          <w:b/>
          <w:bCs/>
          <w:sz w:val="32"/>
          <w:szCs w:val="32"/>
        </w:rPr>
        <w:t xml:space="preserve">, </w:t>
      </w:r>
      <w:r>
        <w:rPr>
          <w:b/>
          <w:bCs/>
          <w:sz w:val="32"/>
          <w:szCs w:val="32"/>
        </w:rPr>
        <w:t>Base Paper and Panel Answer Sheet</w:t>
      </w:r>
    </w:p>
    <w:p w14:paraId="3FC2AEB7" w14:textId="77777777" w:rsidR="006C3883" w:rsidRDefault="00000000" w:rsidP="00223FF5">
      <w:pPr>
        <w:pStyle w:val="Heading1"/>
        <w:spacing w:before="360" w:after="280" w:line="276" w:lineRule="auto"/>
        <w:jc w:val="both"/>
      </w:pPr>
      <w:r>
        <w:rPr>
          <w:b/>
          <w:bCs/>
          <w:color w:val="000000"/>
        </w:rPr>
        <w:t>1</w:t>
      </w:r>
      <w:proofErr w:type="gramStart"/>
      <w:r>
        <w:rPr>
          <w:b/>
          <w:bCs/>
          <w:color w:val="000000"/>
        </w:rPr>
        <w:t>.  Which</w:t>
      </w:r>
      <w:proofErr w:type="gramEnd"/>
      <w:r>
        <w:rPr>
          <w:b/>
          <w:bCs/>
          <w:color w:val="000000"/>
        </w:rPr>
        <w:t xml:space="preserve"> Is Our Base Paper?</w:t>
      </w:r>
    </w:p>
    <w:p w14:paraId="2AB571AE" w14:textId="77777777" w:rsidR="006C3883" w:rsidRDefault="00000000" w:rsidP="00223FF5">
      <w:pPr>
        <w:spacing w:after="140" w:line="276" w:lineRule="auto"/>
        <w:ind w:firstLine="720"/>
        <w:jc w:val="both"/>
      </w:pPr>
      <w:r>
        <w:rPr>
          <w:b/>
          <w:bCs/>
        </w:rPr>
        <w:t>Ke, Z., Cao, Y., Chen, Z., Yin, Y., He, S., and Cheng, Y. (2025), “Early warning of cryptocurrency reversal risks via multi-source data,” Finance Research Letters, Article 107890, Elsevier.</w:t>
      </w:r>
    </w:p>
    <w:p w14:paraId="0DD6F9D4" w14:textId="77777777" w:rsidR="006C3883" w:rsidRDefault="00000000" w:rsidP="00223FF5">
      <w:pPr>
        <w:spacing w:after="140" w:line="276" w:lineRule="auto"/>
        <w:ind w:firstLine="720"/>
        <w:jc w:val="both"/>
      </w:pPr>
      <w:r>
        <w:t xml:space="preserve">This paper qualifies as a base paper, and it is worth stating why before the panel asks. It is an original empirical research article published in a Scopus-indexed, peer-reviewed Elsevier journal. It is not a </w:t>
      </w:r>
      <w:proofErr w:type="gramStart"/>
      <w:r>
        <w:t>review</w:t>
      </w:r>
      <w:proofErr w:type="gramEnd"/>
      <w:r>
        <w:t xml:space="preserve"> and it is not a survey. The authors build a model, train it </w:t>
      </w:r>
      <w:proofErr w:type="gramStart"/>
      <w:r>
        <w:t>on</w:t>
      </w:r>
      <w:proofErr w:type="gramEnd"/>
      <w:r>
        <w:t xml:space="preserve"> real data, report numerical results, and carry out ablation and robustness testing. This directly answers the objection raised at the previous review.</w:t>
      </w:r>
    </w:p>
    <w:p w14:paraId="701A3C68" w14:textId="77777777" w:rsidR="006C3883" w:rsidRDefault="00000000" w:rsidP="00223FF5">
      <w:pPr>
        <w:pStyle w:val="Heading1"/>
        <w:spacing w:before="360" w:after="280" w:line="276" w:lineRule="auto"/>
        <w:jc w:val="both"/>
      </w:pPr>
      <w:r>
        <w:rPr>
          <w:b/>
          <w:bCs/>
          <w:color w:val="000000"/>
        </w:rPr>
        <w:t>2</w:t>
      </w:r>
      <w:proofErr w:type="gramStart"/>
      <w:r>
        <w:rPr>
          <w:b/>
          <w:bCs/>
          <w:color w:val="000000"/>
        </w:rPr>
        <w:t>.  Which</w:t>
      </w:r>
      <w:proofErr w:type="gramEnd"/>
      <w:r>
        <w:rPr>
          <w:b/>
          <w:bCs/>
          <w:color w:val="000000"/>
        </w:rPr>
        <w:t xml:space="preserve"> Type of Model, and Which Model, Was Used?</w:t>
      </w:r>
    </w:p>
    <w:p w14:paraId="398C553F" w14:textId="77777777" w:rsidR="006C3883" w:rsidRDefault="00000000" w:rsidP="00223FF5">
      <w:pPr>
        <w:keepNext/>
        <w:keepLines/>
        <w:spacing w:before="220" w:after="100" w:line="276" w:lineRule="auto"/>
        <w:jc w:val="both"/>
      </w:pPr>
      <w:r>
        <w:rPr>
          <w:i/>
          <w:iCs/>
          <w:sz w:val="22"/>
          <w:szCs w:val="22"/>
        </w:rPr>
        <w:t>Table 1.  Modelling choices in the base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6C3883" w14:paraId="72C52CF1" w14:textId="77777777">
        <w:tblPrEx>
          <w:tblCellMar>
            <w:top w:w="0" w:type="dxa"/>
            <w:bottom w:w="0" w:type="dxa"/>
          </w:tblCellMar>
        </w:tblPrEx>
        <w:trPr>
          <w:tblHeader/>
        </w:trPr>
        <w:tc>
          <w:tcPr>
            <w:tcW w:w="2600" w:type="dxa"/>
            <w:shd w:val="clear" w:color="auto" w:fill="1F4E79"/>
            <w:tcMar>
              <w:top w:w="70" w:type="dxa"/>
              <w:left w:w="100" w:type="dxa"/>
              <w:bottom w:w="70" w:type="dxa"/>
              <w:right w:w="100" w:type="dxa"/>
            </w:tcMar>
          </w:tcPr>
          <w:p w14:paraId="57AF2847" w14:textId="77777777" w:rsidR="006C3883" w:rsidRDefault="00000000" w:rsidP="00223FF5">
            <w:pPr>
              <w:spacing w:line="276" w:lineRule="auto"/>
              <w:jc w:val="both"/>
            </w:pPr>
            <w:r>
              <w:rPr>
                <w:b/>
                <w:bCs/>
                <w:color w:val="FFFFFF"/>
                <w:sz w:val="20"/>
                <w:szCs w:val="20"/>
              </w:rPr>
              <w:t>Aspect</w:t>
            </w:r>
          </w:p>
        </w:tc>
        <w:tc>
          <w:tcPr>
            <w:tcW w:w="6400" w:type="dxa"/>
            <w:shd w:val="clear" w:color="auto" w:fill="1F4E79"/>
            <w:tcMar>
              <w:top w:w="70" w:type="dxa"/>
              <w:left w:w="100" w:type="dxa"/>
              <w:bottom w:w="70" w:type="dxa"/>
              <w:right w:w="100" w:type="dxa"/>
            </w:tcMar>
          </w:tcPr>
          <w:p w14:paraId="75A91630" w14:textId="77777777" w:rsidR="006C3883" w:rsidRDefault="00000000" w:rsidP="00223FF5">
            <w:pPr>
              <w:spacing w:line="276" w:lineRule="auto"/>
              <w:jc w:val="both"/>
            </w:pPr>
            <w:r>
              <w:rPr>
                <w:b/>
                <w:bCs/>
                <w:color w:val="FFFFFF"/>
                <w:sz w:val="20"/>
                <w:szCs w:val="20"/>
              </w:rPr>
              <w:t>What the base paper used</w:t>
            </w:r>
          </w:p>
        </w:tc>
      </w:tr>
      <w:tr w:rsidR="006C3883" w14:paraId="0CF94C45" w14:textId="77777777">
        <w:tblPrEx>
          <w:tblCellMar>
            <w:top w:w="0" w:type="dxa"/>
            <w:bottom w:w="0" w:type="dxa"/>
          </w:tblCellMar>
        </w:tblPrEx>
        <w:tc>
          <w:tcPr>
            <w:tcW w:w="2600" w:type="dxa"/>
            <w:tcMar>
              <w:top w:w="70" w:type="dxa"/>
              <w:left w:w="100" w:type="dxa"/>
              <w:bottom w:w="70" w:type="dxa"/>
              <w:right w:w="100" w:type="dxa"/>
            </w:tcMar>
          </w:tcPr>
          <w:p w14:paraId="1159FCFC" w14:textId="77777777" w:rsidR="006C3883" w:rsidRDefault="00000000" w:rsidP="00223FF5">
            <w:pPr>
              <w:spacing w:line="276" w:lineRule="auto"/>
              <w:jc w:val="both"/>
            </w:pPr>
            <w:r>
              <w:rPr>
                <w:color w:val="000000"/>
                <w:sz w:val="20"/>
                <w:szCs w:val="20"/>
              </w:rPr>
              <w:t>Task type</w:t>
            </w:r>
          </w:p>
        </w:tc>
        <w:tc>
          <w:tcPr>
            <w:tcW w:w="6400" w:type="dxa"/>
            <w:tcMar>
              <w:top w:w="70" w:type="dxa"/>
              <w:left w:w="100" w:type="dxa"/>
              <w:bottom w:w="70" w:type="dxa"/>
              <w:right w:w="100" w:type="dxa"/>
            </w:tcMar>
          </w:tcPr>
          <w:p w14:paraId="444B0485" w14:textId="7CA4B050" w:rsidR="006C3883" w:rsidRDefault="00000000" w:rsidP="00223FF5">
            <w:pPr>
              <w:spacing w:line="276" w:lineRule="auto"/>
              <w:jc w:val="both"/>
            </w:pPr>
            <w:r>
              <w:rPr>
                <w:color w:val="000000"/>
                <w:sz w:val="20"/>
                <w:szCs w:val="20"/>
              </w:rPr>
              <w:t>Binary classification of a rare risk event</w:t>
            </w:r>
            <w:r w:rsidR="00223FF5">
              <w:rPr>
                <w:color w:val="000000"/>
                <w:sz w:val="20"/>
                <w:szCs w:val="20"/>
              </w:rPr>
              <w:t xml:space="preserve">, </w:t>
            </w:r>
            <w:r>
              <w:rPr>
                <w:color w:val="000000"/>
                <w:sz w:val="20"/>
                <w:szCs w:val="20"/>
              </w:rPr>
              <w:t>not price regression</w:t>
            </w:r>
          </w:p>
        </w:tc>
      </w:tr>
      <w:tr w:rsidR="006C3883" w14:paraId="081A03FB"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52EFA066" w14:textId="77777777" w:rsidR="006C3883" w:rsidRDefault="00000000" w:rsidP="00223FF5">
            <w:pPr>
              <w:spacing w:line="276" w:lineRule="auto"/>
              <w:jc w:val="both"/>
            </w:pPr>
            <w:r>
              <w:rPr>
                <w:color w:val="000000"/>
                <w:sz w:val="20"/>
                <w:szCs w:val="20"/>
              </w:rPr>
              <w:t>Primary model</w:t>
            </w:r>
          </w:p>
        </w:tc>
        <w:tc>
          <w:tcPr>
            <w:tcW w:w="6400" w:type="dxa"/>
            <w:shd w:val="clear" w:color="auto" w:fill="DEEBF7"/>
            <w:tcMar>
              <w:top w:w="70" w:type="dxa"/>
              <w:left w:w="100" w:type="dxa"/>
              <w:bottom w:w="70" w:type="dxa"/>
              <w:right w:w="100" w:type="dxa"/>
            </w:tcMar>
          </w:tcPr>
          <w:p w14:paraId="4DE93EC6" w14:textId="77777777" w:rsidR="006C3883" w:rsidRDefault="00000000" w:rsidP="00223FF5">
            <w:pPr>
              <w:spacing w:line="276" w:lineRule="auto"/>
              <w:jc w:val="both"/>
            </w:pPr>
            <w:r>
              <w:rPr>
                <w:color w:val="000000"/>
                <w:sz w:val="20"/>
                <w:szCs w:val="20"/>
              </w:rPr>
              <w:t>LSTM (Long Short-Term Memory recurrent neural network)</w:t>
            </w:r>
          </w:p>
        </w:tc>
      </w:tr>
      <w:tr w:rsidR="006C3883" w14:paraId="703FC95C" w14:textId="77777777">
        <w:tblPrEx>
          <w:tblCellMar>
            <w:top w:w="0" w:type="dxa"/>
            <w:bottom w:w="0" w:type="dxa"/>
          </w:tblCellMar>
        </w:tblPrEx>
        <w:tc>
          <w:tcPr>
            <w:tcW w:w="2600" w:type="dxa"/>
            <w:tcMar>
              <w:top w:w="70" w:type="dxa"/>
              <w:left w:w="100" w:type="dxa"/>
              <w:bottom w:w="70" w:type="dxa"/>
              <w:right w:w="100" w:type="dxa"/>
            </w:tcMar>
          </w:tcPr>
          <w:p w14:paraId="691763B0" w14:textId="77777777" w:rsidR="006C3883" w:rsidRDefault="00000000" w:rsidP="00223FF5">
            <w:pPr>
              <w:spacing w:line="276" w:lineRule="auto"/>
              <w:jc w:val="both"/>
            </w:pPr>
            <w:r>
              <w:rPr>
                <w:color w:val="000000"/>
                <w:sz w:val="20"/>
                <w:szCs w:val="20"/>
              </w:rPr>
              <w:t>Comparison models</w:t>
            </w:r>
          </w:p>
        </w:tc>
        <w:tc>
          <w:tcPr>
            <w:tcW w:w="6400" w:type="dxa"/>
            <w:tcMar>
              <w:top w:w="70" w:type="dxa"/>
              <w:left w:w="100" w:type="dxa"/>
              <w:bottom w:w="70" w:type="dxa"/>
              <w:right w:w="100" w:type="dxa"/>
            </w:tcMar>
          </w:tcPr>
          <w:p w14:paraId="415836EC" w14:textId="77777777" w:rsidR="006C3883" w:rsidRDefault="00000000" w:rsidP="00223FF5">
            <w:pPr>
              <w:spacing w:line="276" w:lineRule="auto"/>
              <w:jc w:val="both"/>
            </w:pPr>
            <w:r>
              <w:rPr>
                <w:color w:val="000000"/>
                <w:sz w:val="20"/>
                <w:szCs w:val="20"/>
              </w:rPr>
              <w:t>Logistic Regression (Logit), Linear SVM, Random Forest</w:t>
            </w:r>
          </w:p>
        </w:tc>
      </w:tr>
      <w:tr w:rsidR="006C3883" w14:paraId="38DC0E4B"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5A1CAF27" w14:textId="77777777" w:rsidR="006C3883" w:rsidRDefault="00000000" w:rsidP="00223FF5">
            <w:pPr>
              <w:spacing w:line="276" w:lineRule="auto"/>
              <w:jc w:val="both"/>
            </w:pPr>
            <w:r>
              <w:rPr>
                <w:color w:val="000000"/>
                <w:sz w:val="20"/>
                <w:szCs w:val="20"/>
              </w:rPr>
              <w:t>Reason for LSTM</w:t>
            </w:r>
          </w:p>
        </w:tc>
        <w:tc>
          <w:tcPr>
            <w:tcW w:w="6400" w:type="dxa"/>
            <w:shd w:val="clear" w:color="auto" w:fill="DEEBF7"/>
            <w:tcMar>
              <w:top w:w="70" w:type="dxa"/>
              <w:left w:w="100" w:type="dxa"/>
              <w:bottom w:w="70" w:type="dxa"/>
              <w:right w:w="100" w:type="dxa"/>
            </w:tcMar>
          </w:tcPr>
          <w:p w14:paraId="19785831" w14:textId="77777777" w:rsidR="006C3883" w:rsidRDefault="00000000" w:rsidP="00223FF5">
            <w:pPr>
              <w:spacing w:line="276" w:lineRule="auto"/>
              <w:jc w:val="both"/>
            </w:pPr>
            <w:r>
              <w:rPr>
                <w:color w:val="000000"/>
                <w:sz w:val="20"/>
                <w:szCs w:val="20"/>
              </w:rPr>
              <w:t>To capture temporal dependencies across multi-source signals preceding the event</w:t>
            </w:r>
          </w:p>
        </w:tc>
      </w:tr>
      <w:tr w:rsidR="006C3883" w14:paraId="415FD1CB" w14:textId="77777777">
        <w:tblPrEx>
          <w:tblCellMar>
            <w:top w:w="0" w:type="dxa"/>
            <w:bottom w:w="0" w:type="dxa"/>
          </w:tblCellMar>
        </w:tblPrEx>
        <w:tc>
          <w:tcPr>
            <w:tcW w:w="2600" w:type="dxa"/>
            <w:tcMar>
              <w:top w:w="70" w:type="dxa"/>
              <w:left w:w="100" w:type="dxa"/>
              <w:bottom w:w="70" w:type="dxa"/>
              <w:right w:w="100" w:type="dxa"/>
            </w:tcMar>
          </w:tcPr>
          <w:p w14:paraId="6D1D1974" w14:textId="77777777" w:rsidR="006C3883" w:rsidRDefault="00000000" w:rsidP="00223FF5">
            <w:pPr>
              <w:spacing w:line="276" w:lineRule="auto"/>
              <w:jc w:val="both"/>
            </w:pPr>
            <w:r>
              <w:rPr>
                <w:color w:val="000000"/>
                <w:sz w:val="20"/>
                <w:szCs w:val="20"/>
              </w:rPr>
              <w:t>Imbalance handling</w:t>
            </w:r>
          </w:p>
        </w:tc>
        <w:tc>
          <w:tcPr>
            <w:tcW w:w="6400" w:type="dxa"/>
            <w:tcMar>
              <w:top w:w="70" w:type="dxa"/>
              <w:left w:w="100" w:type="dxa"/>
              <w:bottom w:w="70" w:type="dxa"/>
              <w:right w:w="100" w:type="dxa"/>
            </w:tcMar>
          </w:tcPr>
          <w:p w14:paraId="1066588D" w14:textId="77777777" w:rsidR="006C3883" w:rsidRDefault="00000000" w:rsidP="00223FF5">
            <w:pPr>
              <w:spacing w:line="276" w:lineRule="auto"/>
              <w:jc w:val="both"/>
            </w:pPr>
            <w:r>
              <w:rPr>
                <w:color w:val="000000"/>
                <w:sz w:val="20"/>
                <w:szCs w:val="20"/>
              </w:rPr>
              <w:t>SMOTE (Synthetic Minority Over-sampling Technique)</w:t>
            </w:r>
          </w:p>
        </w:tc>
      </w:tr>
      <w:tr w:rsidR="006C3883" w14:paraId="70C660E2" w14:textId="77777777">
        <w:tblPrEx>
          <w:tblCellMar>
            <w:top w:w="0" w:type="dxa"/>
            <w:bottom w:w="0" w:type="dxa"/>
          </w:tblCellMar>
        </w:tblPrEx>
        <w:tc>
          <w:tcPr>
            <w:tcW w:w="2600" w:type="dxa"/>
            <w:shd w:val="clear" w:color="auto" w:fill="DEEBF7"/>
            <w:tcMar>
              <w:top w:w="70" w:type="dxa"/>
              <w:left w:w="100" w:type="dxa"/>
              <w:bottom w:w="70" w:type="dxa"/>
              <w:right w:w="100" w:type="dxa"/>
            </w:tcMar>
          </w:tcPr>
          <w:p w14:paraId="140037E8" w14:textId="77777777" w:rsidR="006C3883" w:rsidRDefault="00000000" w:rsidP="00223FF5">
            <w:pPr>
              <w:spacing w:line="276" w:lineRule="auto"/>
              <w:jc w:val="both"/>
            </w:pPr>
            <w:r>
              <w:rPr>
                <w:color w:val="000000"/>
                <w:sz w:val="20"/>
                <w:szCs w:val="20"/>
              </w:rPr>
              <w:t>Interpretability</w:t>
            </w:r>
          </w:p>
        </w:tc>
        <w:tc>
          <w:tcPr>
            <w:tcW w:w="6400" w:type="dxa"/>
            <w:shd w:val="clear" w:color="auto" w:fill="DEEBF7"/>
            <w:tcMar>
              <w:top w:w="70" w:type="dxa"/>
              <w:left w:w="100" w:type="dxa"/>
              <w:bottom w:w="70" w:type="dxa"/>
              <w:right w:w="100" w:type="dxa"/>
            </w:tcMar>
          </w:tcPr>
          <w:p w14:paraId="676D8CFB" w14:textId="77777777" w:rsidR="006C3883" w:rsidRDefault="00000000" w:rsidP="00223FF5">
            <w:pPr>
              <w:spacing w:line="276" w:lineRule="auto"/>
              <w:jc w:val="both"/>
            </w:pPr>
            <w:r>
              <w:rPr>
                <w:color w:val="000000"/>
                <w:sz w:val="20"/>
                <w:szCs w:val="20"/>
              </w:rPr>
              <w:t>SHAP attribution over the input feature set</w:t>
            </w:r>
          </w:p>
        </w:tc>
      </w:tr>
    </w:tbl>
    <w:p w14:paraId="057FA6EE" w14:textId="77777777" w:rsidR="006C3883" w:rsidRDefault="00000000" w:rsidP="00223FF5">
      <w:pPr>
        <w:spacing w:after="140" w:line="276" w:lineRule="auto"/>
        <w:ind w:firstLine="720"/>
        <w:jc w:val="both"/>
      </w:pPr>
      <w:r>
        <w:t xml:space="preserve">The composition of that comparison set is significant. The base paper evaluates LSTM against Logistic Regression, SVM and Random Forest. It does not include </w:t>
      </w:r>
      <w:proofErr w:type="spellStart"/>
      <w:r>
        <w:t>XGBoost</w:t>
      </w:r>
      <w:proofErr w:type="spellEnd"/>
      <w:r>
        <w:t xml:space="preserve"> and it does not include GRU. That absence is one of our stated extensions, and it is a concrete, checkable gap rather than a vague claim of improvement.</w:t>
      </w:r>
    </w:p>
    <w:p w14:paraId="0D33B070" w14:textId="77777777" w:rsidR="006C3883" w:rsidRDefault="00000000" w:rsidP="00223FF5">
      <w:pPr>
        <w:pStyle w:val="Heading1"/>
        <w:spacing w:before="360" w:after="280" w:line="276" w:lineRule="auto"/>
        <w:jc w:val="both"/>
      </w:pPr>
      <w:r>
        <w:rPr>
          <w:b/>
          <w:bCs/>
          <w:color w:val="000000"/>
        </w:rPr>
        <w:t>3</w:t>
      </w:r>
      <w:proofErr w:type="gramStart"/>
      <w:r>
        <w:rPr>
          <w:b/>
          <w:bCs/>
          <w:color w:val="000000"/>
        </w:rPr>
        <w:t>.  On</w:t>
      </w:r>
      <w:proofErr w:type="gramEnd"/>
      <w:r>
        <w:rPr>
          <w:b/>
          <w:bCs/>
          <w:color w:val="000000"/>
        </w:rPr>
        <w:t xml:space="preserve"> Which Dataset Was It Trained?</w:t>
      </w:r>
    </w:p>
    <w:p w14:paraId="1304601A" w14:textId="77777777" w:rsidR="006C3883" w:rsidRDefault="00000000" w:rsidP="00223FF5">
      <w:pPr>
        <w:spacing w:after="140" w:line="276" w:lineRule="auto"/>
        <w:ind w:firstLine="720"/>
        <w:jc w:val="both"/>
      </w:pPr>
      <w:r>
        <w:t>The base paper uses a multi-source dataset combining three families of signal, which is unusual in this literature and constitutes the paper’s principal claim to novelty. The first family is blockchain metrics, including hash rate and large-value or “whale” transactions. The second is social sentiment extracted from public discussion of cryptocurrency. The third is regulatory signals, treating regulatory announcements and policy events as shock variables.</w:t>
      </w:r>
    </w:p>
    <w:p w14:paraId="29E78DC1" w14:textId="6AEBC78D" w:rsidR="006C3883" w:rsidRDefault="00000000" w:rsidP="00223FF5">
      <w:pPr>
        <w:spacing w:after="140" w:line="276" w:lineRule="auto"/>
        <w:ind w:firstLine="720"/>
        <w:jc w:val="both"/>
      </w:pPr>
      <w:r>
        <w:t>The prediction target is a pin-bar reversal risk event in the Bitcoin market</w:t>
      </w:r>
      <w:r w:rsidR="00223FF5">
        <w:t xml:space="preserve">, </w:t>
      </w:r>
      <w:r>
        <w:t xml:space="preserve">a market-microstructure reversal pattern which the </w:t>
      </w:r>
      <w:proofErr w:type="gramStart"/>
      <w:r>
        <w:t>authors</w:t>
      </w:r>
      <w:proofErr w:type="gramEnd"/>
      <w:r>
        <w:t xml:space="preserve"> argue occurs frequently in Bitcoin and is uncommon in traditional assets.</w:t>
      </w:r>
    </w:p>
    <w:p w14:paraId="3335E374" w14:textId="01AAAF02" w:rsidR="006C3883" w:rsidRDefault="00000000" w:rsidP="00223FF5">
      <w:pPr>
        <w:pBdr>
          <w:left w:val="single" w:sz="12" w:space="12" w:color="1F4E79"/>
        </w:pBdr>
        <w:spacing w:before="140" w:after="180" w:line="276" w:lineRule="auto"/>
        <w:ind w:left="620" w:right="400"/>
        <w:jc w:val="both"/>
      </w:pPr>
      <w:r>
        <w:rPr>
          <w:i/>
          <w:iCs/>
          <w:color w:val="1F3864"/>
          <w:sz w:val="23"/>
          <w:szCs w:val="23"/>
        </w:rPr>
        <w:lastRenderedPageBreak/>
        <w:t>Confirm the exact date range and observation count from the paper’s data section before the review. If asked and the figure is not to hand, say that the paper draws blockchain, sentiment and regulatory series for Bitcoin and that the precise window will be confirmed</w:t>
      </w:r>
      <w:r w:rsidR="00223FF5">
        <w:rPr>
          <w:i/>
          <w:iCs/>
          <w:color w:val="1F3864"/>
          <w:sz w:val="23"/>
          <w:szCs w:val="23"/>
        </w:rPr>
        <w:t xml:space="preserve">, </w:t>
      </w:r>
      <w:r>
        <w:rPr>
          <w:i/>
          <w:iCs/>
          <w:color w:val="1F3864"/>
          <w:sz w:val="23"/>
          <w:szCs w:val="23"/>
        </w:rPr>
        <w:t>never guess a number in front of a panel.</w:t>
      </w:r>
    </w:p>
    <w:p w14:paraId="3563B7C7" w14:textId="77777777" w:rsidR="006C3883" w:rsidRDefault="00000000" w:rsidP="00223FF5">
      <w:pPr>
        <w:pStyle w:val="Heading1"/>
        <w:spacing w:before="360" w:after="280" w:line="276" w:lineRule="auto"/>
        <w:jc w:val="both"/>
      </w:pPr>
      <w:r>
        <w:rPr>
          <w:b/>
          <w:bCs/>
          <w:color w:val="000000"/>
        </w:rPr>
        <w:t>4</w:t>
      </w:r>
      <w:proofErr w:type="gramStart"/>
      <w:r>
        <w:rPr>
          <w:b/>
          <w:bCs/>
          <w:color w:val="000000"/>
        </w:rPr>
        <w:t>.  How</w:t>
      </w:r>
      <w:proofErr w:type="gramEnd"/>
      <w:r>
        <w:rPr>
          <w:b/>
          <w:bCs/>
          <w:color w:val="000000"/>
        </w:rPr>
        <w:t xml:space="preserve"> Accurate Is the Base Paper’s Model?</w:t>
      </w:r>
    </w:p>
    <w:p w14:paraId="4D8E1094" w14:textId="77777777" w:rsidR="006C3883" w:rsidRDefault="00000000" w:rsidP="00223FF5">
      <w:pPr>
        <w:keepNext/>
        <w:keepLines/>
        <w:spacing w:before="220" w:after="100" w:line="276" w:lineRule="auto"/>
        <w:jc w:val="both"/>
      </w:pPr>
      <w:r>
        <w:rPr>
          <w:i/>
          <w:iCs/>
          <w:sz w:val="22"/>
          <w:szCs w:val="22"/>
        </w:rPr>
        <w:t>Table 2.  Results reported in the base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6C3883" w14:paraId="60D2423B" w14:textId="77777777">
        <w:tblPrEx>
          <w:tblCellMar>
            <w:top w:w="0" w:type="dxa"/>
            <w:bottom w:w="0" w:type="dxa"/>
          </w:tblCellMar>
        </w:tblPrEx>
        <w:trPr>
          <w:tblHeader/>
        </w:trPr>
        <w:tc>
          <w:tcPr>
            <w:tcW w:w="5400" w:type="dxa"/>
            <w:shd w:val="clear" w:color="auto" w:fill="1F4E79"/>
            <w:tcMar>
              <w:top w:w="70" w:type="dxa"/>
              <w:left w:w="100" w:type="dxa"/>
              <w:bottom w:w="70" w:type="dxa"/>
              <w:right w:w="100" w:type="dxa"/>
            </w:tcMar>
          </w:tcPr>
          <w:p w14:paraId="5E1EDBF3" w14:textId="77777777" w:rsidR="006C3883" w:rsidRDefault="00000000" w:rsidP="00223FF5">
            <w:pPr>
              <w:spacing w:line="276" w:lineRule="auto"/>
              <w:jc w:val="both"/>
            </w:pPr>
            <w:r>
              <w:rPr>
                <w:b/>
                <w:bCs/>
                <w:color w:val="FFFFFF"/>
                <w:sz w:val="20"/>
                <w:szCs w:val="20"/>
              </w:rPr>
              <w:t>Metric reported</w:t>
            </w:r>
          </w:p>
        </w:tc>
        <w:tc>
          <w:tcPr>
            <w:tcW w:w="3600" w:type="dxa"/>
            <w:shd w:val="clear" w:color="auto" w:fill="1F4E79"/>
            <w:tcMar>
              <w:top w:w="70" w:type="dxa"/>
              <w:left w:w="100" w:type="dxa"/>
              <w:bottom w:w="70" w:type="dxa"/>
              <w:right w:w="100" w:type="dxa"/>
            </w:tcMar>
          </w:tcPr>
          <w:p w14:paraId="60E8DF7A" w14:textId="77777777" w:rsidR="006C3883" w:rsidRDefault="00000000" w:rsidP="00223FF5">
            <w:pPr>
              <w:spacing w:line="276" w:lineRule="auto"/>
              <w:jc w:val="both"/>
            </w:pPr>
            <w:r>
              <w:rPr>
                <w:b/>
                <w:bCs/>
                <w:color w:val="FFFFFF"/>
                <w:sz w:val="20"/>
                <w:szCs w:val="20"/>
              </w:rPr>
              <w:t>Value</w:t>
            </w:r>
          </w:p>
        </w:tc>
      </w:tr>
      <w:tr w:rsidR="006C3883" w14:paraId="73C48C25" w14:textId="77777777">
        <w:tblPrEx>
          <w:tblCellMar>
            <w:top w:w="0" w:type="dxa"/>
            <w:bottom w:w="0" w:type="dxa"/>
          </w:tblCellMar>
        </w:tblPrEx>
        <w:tc>
          <w:tcPr>
            <w:tcW w:w="5400" w:type="dxa"/>
            <w:tcMar>
              <w:top w:w="70" w:type="dxa"/>
              <w:left w:w="100" w:type="dxa"/>
              <w:bottom w:w="70" w:type="dxa"/>
              <w:right w:w="100" w:type="dxa"/>
            </w:tcMar>
          </w:tcPr>
          <w:p w14:paraId="7D43B562" w14:textId="77777777" w:rsidR="006C3883" w:rsidRDefault="00000000" w:rsidP="00223FF5">
            <w:pPr>
              <w:spacing w:line="276" w:lineRule="auto"/>
              <w:jc w:val="both"/>
            </w:pPr>
            <w:r>
              <w:rPr>
                <w:color w:val="000000"/>
                <w:sz w:val="20"/>
                <w:szCs w:val="20"/>
              </w:rPr>
              <w:t>LSTM F1-score</w:t>
            </w:r>
          </w:p>
        </w:tc>
        <w:tc>
          <w:tcPr>
            <w:tcW w:w="3600" w:type="dxa"/>
            <w:tcMar>
              <w:top w:w="70" w:type="dxa"/>
              <w:left w:w="100" w:type="dxa"/>
              <w:bottom w:w="70" w:type="dxa"/>
              <w:right w:w="100" w:type="dxa"/>
            </w:tcMar>
          </w:tcPr>
          <w:p w14:paraId="29927CA5" w14:textId="77777777" w:rsidR="006C3883" w:rsidRDefault="00000000" w:rsidP="00223FF5">
            <w:pPr>
              <w:spacing w:line="276" w:lineRule="auto"/>
              <w:jc w:val="both"/>
            </w:pPr>
            <w:r>
              <w:rPr>
                <w:color w:val="000000"/>
                <w:sz w:val="20"/>
                <w:szCs w:val="20"/>
              </w:rPr>
              <w:t>0.703</w:t>
            </w:r>
          </w:p>
        </w:tc>
      </w:tr>
      <w:tr w:rsidR="006C3883" w14:paraId="67968561" w14:textId="77777777">
        <w:tblPrEx>
          <w:tblCellMar>
            <w:top w:w="0" w:type="dxa"/>
            <w:bottom w:w="0" w:type="dxa"/>
          </w:tblCellMar>
        </w:tblPrEx>
        <w:tc>
          <w:tcPr>
            <w:tcW w:w="5400" w:type="dxa"/>
            <w:shd w:val="clear" w:color="auto" w:fill="DEEBF7"/>
            <w:tcMar>
              <w:top w:w="70" w:type="dxa"/>
              <w:left w:w="100" w:type="dxa"/>
              <w:bottom w:w="70" w:type="dxa"/>
              <w:right w:w="100" w:type="dxa"/>
            </w:tcMar>
          </w:tcPr>
          <w:p w14:paraId="56416F36" w14:textId="77777777" w:rsidR="006C3883" w:rsidRDefault="00000000" w:rsidP="00223FF5">
            <w:pPr>
              <w:spacing w:line="276" w:lineRule="auto"/>
              <w:jc w:val="both"/>
            </w:pPr>
            <w:r>
              <w:rPr>
                <w:color w:val="000000"/>
                <w:sz w:val="20"/>
                <w:szCs w:val="20"/>
              </w:rPr>
              <w:t>Rolling-window F1 across market cycles</w:t>
            </w:r>
          </w:p>
        </w:tc>
        <w:tc>
          <w:tcPr>
            <w:tcW w:w="3600" w:type="dxa"/>
            <w:shd w:val="clear" w:color="auto" w:fill="DEEBF7"/>
            <w:tcMar>
              <w:top w:w="70" w:type="dxa"/>
              <w:left w:w="100" w:type="dxa"/>
              <w:bottom w:w="70" w:type="dxa"/>
              <w:right w:w="100" w:type="dxa"/>
            </w:tcMar>
          </w:tcPr>
          <w:p w14:paraId="2754498E" w14:textId="77777777" w:rsidR="006C3883" w:rsidRDefault="00000000" w:rsidP="00223FF5">
            <w:pPr>
              <w:spacing w:line="276" w:lineRule="auto"/>
              <w:jc w:val="both"/>
            </w:pPr>
            <w:r>
              <w:rPr>
                <w:color w:val="000000"/>
                <w:sz w:val="20"/>
                <w:szCs w:val="20"/>
              </w:rPr>
              <w:t>0.64 – 0.72</w:t>
            </w:r>
          </w:p>
        </w:tc>
      </w:tr>
      <w:tr w:rsidR="006C3883" w14:paraId="27847A50" w14:textId="77777777">
        <w:tblPrEx>
          <w:tblCellMar>
            <w:top w:w="0" w:type="dxa"/>
            <w:bottom w:w="0" w:type="dxa"/>
          </w:tblCellMar>
        </w:tblPrEx>
        <w:tc>
          <w:tcPr>
            <w:tcW w:w="5400" w:type="dxa"/>
            <w:tcMar>
              <w:top w:w="70" w:type="dxa"/>
              <w:left w:w="100" w:type="dxa"/>
              <w:bottom w:w="70" w:type="dxa"/>
              <w:right w:w="100" w:type="dxa"/>
            </w:tcMar>
          </w:tcPr>
          <w:p w14:paraId="1487CE4E" w14:textId="77777777" w:rsidR="006C3883" w:rsidRDefault="00000000" w:rsidP="00223FF5">
            <w:pPr>
              <w:spacing w:line="276" w:lineRule="auto"/>
              <w:jc w:val="both"/>
            </w:pPr>
            <w:r>
              <w:rPr>
                <w:color w:val="000000"/>
                <w:sz w:val="20"/>
                <w:szCs w:val="20"/>
              </w:rPr>
              <w:t>Contribution of blockchain features (SHAP)</w:t>
            </w:r>
          </w:p>
        </w:tc>
        <w:tc>
          <w:tcPr>
            <w:tcW w:w="3600" w:type="dxa"/>
            <w:tcMar>
              <w:top w:w="70" w:type="dxa"/>
              <w:left w:w="100" w:type="dxa"/>
              <w:bottom w:w="70" w:type="dxa"/>
              <w:right w:w="100" w:type="dxa"/>
            </w:tcMar>
          </w:tcPr>
          <w:p w14:paraId="390247AD" w14:textId="77777777" w:rsidR="006C3883" w:rsidRDefault="00000000" w:rsidP="00223FF5">
            <w:pPr>
              <w:spacing w:line="276" w:lineRule="auto"/>
              <w:jc w:val="both"/>
            </w:pPr>
            <w:r>
              <w:rPr>
                <w:color w:val="000000"/>
                <w:sz w:val="20"/>
                <w:szCs w:val="20"/>
              </w:rPr>
              <w:t>greater than 33% of predictive power</w:t>
            </w:r>
          </w:p>
        </w:tc>
      </w:tr>
      <w:tr w:rsidR="006C3883" w14:paraId="7CA3D4C5" w14:textId="77777777">
        <w:tblPrEx>
          <w:tblCellMar>
            <w:top w:w="0" w:type="dxa"/>
            <w:bottom w:w="0" w:type="dxa"/>
          </w:tblCellMar>
        </w:tblPrEx>
        <w:tc>
          <w:tcPr>
            <w:tcW w:w="5400" w:type="dxa"/>
            <w:shd w:val="clear" w:color="auto" w:fill="DEEBF7"/>
            <w:tcMar>
              <w:top w:w="70" w:type="dxa"/>
              <w:left w:w="100" w:type="dxa"/>
              <w:bottom w:w="70" w:type="dxa"/>
              <w:right w:w="100" w:type="dxa"/>
            </w:tcMar>
          </w:tcPr>
          <w:p w14:paraId="205506F6" w14:textId="77777777" w:rsidR="006C3883" w:rsidRDefault="00000000" w:rsidP="00223FF5">
            <w:pPr>
              <w:spacing w:line="276" w:lineRule="auto"/>
              <w:jc w:val="both"/>
            </w:pPr>
            <w:r>
              <w:rPr>
                <w:color w:val="000000"/>
                <w:sz w:val="20"/>
                <w:szCs w:val="20"/>
              </w:rPr>
              <w:t>Effect of SMOTE on rare-event recall</w:t>
            </w:r>
          </w:p>
        </w:tc>
        <w:tc>
          <w:tcPr>
            <w:tcW w:w="3600" w:type="dxa"/>
            <w:shd w:val="clear" w:color="auto" w:fill="DEEBF7"/>
            <w:tcMar>
              <w:top w:w="70" w:type="dxa"/>
              <w:left w:w="100" w:type="dxa"/>
              <w:bottom w:w="70" w:type="dxa"/>
              <w:right w:w="100" w:type="dxa"/>
            </w:tcMar>
          </w:tcPr>
          <w:p w14:paraId="78F8D22C" w14:textId="77777777" w:rsidR="006C3883" w:rsidRDefault="00000000" w:rsidP="00223FF5">
            <w:pPr>
              <w:spacing w:line="276" w:lineRule="auto"/>
              <w:jc w:val="both"/>
            </w:pPr>
            <w:r>
              <w:rPr>
                <w:color w:val="000000"/>
                <w:sz w:val="20"/>
                <w:szCs w:val="20"/>
              </w:rPr>
              <w:t>+19%</w:t>
            </w:r>
          </w:p>
        </w:tc>
      </w:tr>
    </w:tbl>
    <w:p w14:paraId="34269442" w14:textId="77777777" w:rsidR="006C3883" w:rsidRDefault="00000000" w:rsidP="00223FF5">
      <w:pPr>
        <w:spacing w:after="140" w:line="276" w:lineRule="auto"/>
        <w:ind w:firstLine="720"/>
        <w:jc w:val="both"/>
      </w:pPr>
      <w:r>
        <w:t>Two observations about these numbers strengthen our position rather than weaken it.</w:t>
      </w:r>
    </w:p>
    <w:p w14:paraId="47128A35" w14:textId="77777777" w:rsidR="006C3883" w:rsidRDefault="00000000" w:rsidP="00223FF5">
      <w:pPr>
        <w:spacing w:after="140" w:line="276" w:lineRule="auto"/>
        <w:ind w:firstLine="720"/>
        <w:jc w:val="both"/>
      </w:pPr>
      <w:r>
        <w:t>First, the paper reports F1 rather than accuracy. That is correct practice for a rare-event problem, and it is precisely why our own work refuses to quote accuracy. If the panel asks why accuracy is absent from our results, the answer is that the base paper omits it for the same reason: a model predicting “no event” every day would score above ninety-five per cent accuracy and provide no value whatsoever.</w:t>
      </w:r>
    </w:p>
    <w:p w14:paraId="2D4CF21D" w14:textId="77777777" w:rsidR="006C3883" w:rsidRDefault="00000000" w:rsidP="00223FF5">
      <w:pPr>
        <w:spacing w:after="140" w:line="276" w:lineRule="auto"/>
        <w:ind w:firstLine="720"/>
        <w:jc w:val="both"/>
      </w:pPr>
      <w:r>
        <w:t>Second, an F1 of approximately 0.70 is a realistic and honest result rather than a spectacular one. This is the genuine difficulty level of the problem. If our system reports a figure in a similar range, that is a credible outcome. Conversely, any report of 0.95 or above on rare-event crash prediction should raise an immediate suspicion of information leakage.</w:t>
      </w:r>
    </w:p>
    <w:p w14:paraId="7BF11AB9" w14:textId="77777777" w:rsidR="006C3883" w:rsidRDefault="00000000" w:rsidP="00223FF5">
      <w:pPr>
        <w:pStyle w:val="Heading1"/>
        <w:spacing w:before="360" w:after="280" w:line="276" w:lineRule="auto"/>
        <w:jc w:val="both"/>
      </w:pPr>
      <w:r>
        <w:rPr>
          <w:b/>
          <w:bCs/>
          <w:color w:val="000000"/>
        </w:rPr>
        <w:t>5.  Which Market Did the Base Paper Comment On?</w:t>
      </w:r>
    </w:p>
    <w:p w14:paraId="6B9B2364" w14:textId="3D74A10D" w:rsidR="006C3883" w:rsidRDefault="00000000" w:rsidP="00223FF5">
      <w:pPr>
        <w:spacing w:after="140" w:line="276" w:lineRule="auto"/>
        <w:ind w:firstLine="720"/>
        <w:jc w:val="both"/>
      </w:pPr>
      <w:r>
        <w:t>The Bitcoin market specifically</w:t>
      </w:r>
      <w:r w:rsidR="00223FF5">
        <w:t xml:space="preserve">, </w:t>
      </w:r>
      <w:r>
        <w:t>a single asset, treated in isolation. The paper does not model cross-asset relationships, does not treat Ethereum or the wider altcoin market as interacting entities, and does not address cross-chain effects.</w:t>
      </w:r>
    </w:p>
    <w:p w14:paraId="39A99AA8" w14:textId="77777777" w:rsidR="006C3883" w:rsidRDefault="00000000" w:rsidP="00223FF5">
      <w:pPr>
        <w:spacing w:after="140" w:line="276" w:lineRule="auto"/>
        <w:ind w:firstLine="720"/>
        <w:jc w:val="both"/>
      </w:pPr>
      <w:r>
        <w:t>Critically, the authors themselves state that future research may investigate cross-chain dynamics and more advanced temporal models. Our extension is therefore not a criticism we invented; it is the direction the original authors identified as unfinished. Stating that we are continuing the line of work the authors proposed is a considerably stronger position than claiming to have found a flaw.</w:t>
      </w:r>
    </w:p>
    <w:p w14:paraId="3A9EE517" w14:textId="77777777" w:rsidR="006C3883" w:rsidRDefault="00000000" w:rsidP="00223FF5">
      <w:pPr>
        <w:spacing w:line="276" w:lineRule="auto"/>
        <w:jc w:val="both"/>
      </w:pPr>
      <w:r>
        <w:br w:type="page"/>
      </w:r>
    </w:p>
    <w:p w14:paraId="7CC776D2" w14:textId="77777777" w:rsidR="006C3883" w:rsidRDefault="00000000" w:rsidP="00223FF5">
      <w:pPr>
        <w:pStyle w:val="Heading1"/>
        <w:spacing w:before="360" w:after="280" w:line="276" w:lineRule="auto"/>
        <w:jc w:val="both"/>
      </w:pPr>
      <w:r>
        <w:rPr>
          <w:b/>
          <w:bCs/>
          <w:color w:val="000000"/>
        </w:rPr>
        <w:lastRenderedPageBreak/>
        <w:t>6</w:t>
      </w:r>
      <w:proofErr w:type="gramStart"/>
      <w:r>
        <w:rPr>
          <w:b/>
          <w:bCs/>
          <w:color w:val="000000"/>
        </w:rPr>
        <w:t>.  Our</w:t>
      </w:r>
      <w:proofErr w:type="gramEnd"/>
      <w:r>
        <w:rPr>
          <w:b/>
          <w:bCs/>
          <w:color w:val="000000"/>
        </w:rPr>
        <w:t xml:space="preserve"> Dataset: Difference, Source and Authenticity</w:t>
      </w:r>
    </w:p>
    <w:p w14:paraId="0B2663D5" w14:textId="77777777" w:rsidR="006C3883" w:rsidRDefault="00000000" w:rsidP="00223FF5">
      <w:pPr>
        <w:pStyle w:val="Heading2"/>
        <w:spacing w:before="300" w:after="180" w:line="276" w:lineRule="auto"/>
        <w:jc w:val="both"/>
      </w:pPr>
      <w:proofErr w:type="gramStart"/>
      <w:r>
        <w:rPr>
          <w:b/>
          <w:bCs/>
          <w:color w:val="000000"/>
          <w:sz w:val="28"/>
          <w:szCs w:val="28"/>
        </w:rPr>
        <w:t>6.1  Where</w:t>
      </w:r>
      <w:proofErr w:type="gramEnd"/>
      <w:r>
        <w:rPr>
          <w:b/>
          <w:bCs/>
          <w:color w:val="000000"/>
          <w:sz w:val="28"/>
          <w:szCs w:val="28"/>
        </w:rPr>
        <w:t xml:space="preserve"> the data comes from</w:t>
      </w:r>
    </w:p>
    <w:p w14:paraId="5AD09A80" w14:textId="77777777" w:rsidR="006C3883" w:rsidRDefault="00000000" w:rsidP="00223FF5">
      <w:pPr>
        <w:keepNext/>
        <w:keepLines/>
        <w:spacing w:before="220" w:after="100" w:line="276" w:lineRule="auto"/>
        <w:jc w:val="both"/>
      </w:pPr>
      <w:r>
        <w:rPr>
          <w:i/>
          <w:iCs/>
          <w:sz w:val="22"/>
          <w:szCs w:val="22"/>
        </w:rPr>
        <w:t>Table 3.  Data sources and the basis on which each is authentic.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6C3883" w14:paraId="7CBDEC84" w14:textId="77777777">
        <w:tblPrEx>
          <w:tblCellMar>
            <w:top w:w="0" w:type="dxa"/>
            <w:bottom w:w="0" w:type="dxa"/>
          </w:tblCellMar>
        </w:tblPrEx>
        <w:trPr>
          <w:tblHeader/>
        </w:trPr>
        <w:tc>
          <w:tcPr>
            <w:tcW w:w="2100" w:type="dxa"/>
            <w:shd w:val="clear" w:color="auto" w:fill="1F4E79"/>
            <w:tcMar>
              <w:top w:w="70" w:type="dxa"/>
              <w:left w:w="100" w:type="dxa"/>
              <w:bottom w:w="70" w:type="dxa"/>
              <w:right w:w="100" w:type="dxa"/>
            </w:tcMar>
          </w:tcPr>
          <w:p w14:paraId="0FC3FC37" w14:textId="77777777" w:rsidR="006C3883" w:rsidRDefault="00000000" w:rsidP="00223FF5">
            <w:pPr>
              <w:spacing w:line="276" w:lineRule="auto"/>
              <w:jc w:val="both"/>
            </w:pPr>
            <w:r>
              <w:rPr>
                <w:b/>
                <w:bCs/>
                <w:color w:val="FFFFFF"/>
                <w:sz w:val="19"/>
                <w:szCs w:val="19"/>
              </w:rPr>
              <w:t>Source</w:t>
            </w:r>
          </w:p>
        </w:tc>
        <w:tc>
          <w:tcPr>
            <w:tcW w:w="3200" w:type="dxa"/>
            <w:shd w:val="clear" w:color="auto" w:fill="1F4E79"/>
            <w:tcMar>
              <w:top w:w="70" w:type="dxa"/>
              <w:left w:w="100" w:type="dxa"/>
              <w:bottom w:w="70" w:type="dxa"/>
              <w:right w:w="100" w:type="dxa"/>
            </w:tcMar>
          </w:tcPr>
          <w:p w14:paraId="6CAF8A0B" w14:textId="77777777" w:rsidR="006C3883" w:rsidRDefault="00000000" w:rsidP="00223FF5">
            <w:pPr>
              <w:spacing w:line="276" w:lineRule="auto"/>
              <w:jc w:val="both"/>
            </w:pPr>
            <w:r>
              <w:rPr>
                <w:b/>
                <w:bCs/>
                <w:color w:val="FFFFFF"/>
                <w:sz w:val="19"/>
                <w:szCs w:val="19"/>
              </w:rPr>
              <w:t>What we take</w:t>
            </w:r>
          </w:p>
        </w:tc>
        <w:tc>
          <w:tcPr>
            <w:tcW w:w="3700" w:type="dxa"/>
            <w:shd w:val="clear" w:color="auto" w:fill="1F4E79"/>
            <w:tcMar>
              <w:top w:w="70" w:type="dxa"/>
              <w:left w:w="100" w:type="dxa"/>
              <w:bottom w:w="70" w:type="dxa"/>
              <w:right w:w="100" w:type="dxa"/>
            </w:tcMar>
          </w:tcPr>
          <w:p w14:paraId="254FAD73" w14:textId="77777777" w:rsidR="006C3883" w:rsidRDefault="00000000" w:rsidP="00223FF5">
            <w:pPr>
              <w:spacing w:line="276" w:lineRule="auto"/>
              <w:jc w:val="both"/>
            </w:pPr>
            <w:r>
              <w:rPr>
                <w:b/>
                <w:bCs/>
                <w:color w:val="FFFFFF"/>
                <w:sz w:val="19"/>
                <w:szCs w:val="19"/>
              </w:rPr>
              <w:t>Authenticity basis</w:t>
            </w:r>
          </w:p>
        </w:tc>
      </w:tr>
      <w:tr w:rsidR="006C3883" w14:paraId="781AF523" w14:textId="77777777">
        <w:tblPrEx>
          <w:tblCellMar>
            <w:top w:w="0" w:type="dxa"/>
            <w:bottom w:w="0" w:type="dxa"/>
          </w:tblCellMar>
        </w:tblPrEx>
        <w:tc>
          <w:tcPr>
            <w:tcW w:w="2100" w:type="dxa"/>
            <w:tcMar>
              <w:top w:w="70" w:type="dxa"/>
              <w:left w:w="100" w:type="dxa"/>
              <w:bottom w:w="70" w:type="dxa"/>
              <w:right w:w="100" w:type="dxa"/>
            </w:tcMar>
          </w:tcPr>
          <w:p w14:paraId="1D2778B2" w14:textId="77777777" w:rsidR="006C3883" w:rsidRDefault="00000000" w:rsidP="00223FF5">
            <w:pPr>
              <w:spacing w:line="276" w:lineRule="auto"/>
              <w:jc w:val="both"/>
            </w:pPr>
            <w:proofErr w:type="spellStart"/>
            <w:r>
              <w:rPr>
                <w:color w:val="000000"/>
                <w:sz w:val="19"/>
                <w:szCs w:val="19"/>
              </w:rPr>
              <w:t>CoinGecko</w:t>
            </w:r>
            <w:proofErr w:type="spellEnd"/>
            <w:r>
              <w:rPr>
                <w:color w:val="000000"/>
                <w:sz w:val="19"/>
                <w:szCs w:val="19"/>
              </w:rPr>
              <w:t xml:space="preserve"> API</w:t>
            </w:r>
          </w:p>
        </w:tc>
        <w:tc>
          <w:tcPr>
            <w:tcW w:w="3200" w:type="dxa"/>
            <w:tcMar>
              <w:top w:w="70" w:type="dxa"/>
              <w:left w:w="100" w:type="dxa"/>
              <w:bottom w:w="70" w:type="dxa"/>
              <w:right w:w="100" w:type="dxa"/>
            </w:tcMar>
          </w:tcPr>
          <w:p w14:paraId="0E4DF825" w14:textId="77777777" w:rsidR="006C3883" w:rsidRDefault="00000000" w:rsidP="00223FF5">
            <w:pPr>
              <w:spacing w:line="276" w:lineRule="auto"/>
              <w:jc w:val="both"/>
            </w:pPr>
            <w:r>
              <w:rPr>
                <w:color w:val="000000"/>
                <w:sz w:val="19"/>
                <w:szCs w:val="19"/>
              </w:rPr>
              <w:t xml:space="preserve">Price, volume, market </w:t>
            </w:r>
            <w:proofErr w:type="spellStart"/>
            <w:r>
              <w:rPr>
                <w:color w:val="000000"/>
                <w:sz w:val="19"/>
                <w:szCs w:val="19"/>
              </w:rPr>
              <w:t>capitalisation</w:t>
            </w:r>
            <w:proofErr w:type="spellEnd"/>
            <w:r>
              <w:rPr>
                <w:color w:val="000000"/>
                <w:sz w:val="19"/>
                <w:szCs w:val="19"/>
              </w:rPr>
              <w:t>, market dominance</w:t>
            </w:r>
          </w:p>
        </w:tc>
        <w:tc>
          <w:tcPr>
            <w:tcW w:w="3700" w:type="dxa"/>
            <w:tcMar>
              <w:top w:w="70" w:type="dxa"/>
              <w:left w:w="100" w:type="dxa"/>
              <w:bottom w:w="70" w:type="dxa"/>
              <w:right w:w="100" w:type="dxa"/>
            </w:tcMar>
          </w:tcPr>
          <w:p w14:paraId="60354EC0" w14:textId="77777777" w:rsidR="006C3883" w:rsidRDefault="00000000" w:rsidP="00223FF5">
            <w:pPr>
              <w:spacing w:line="276" w:lineRule="auto"/>
              <w:jc w:val="both"/>
            </w:pPr>
            <w:r>
              <w:rPr>
                <w:color w:val="000000"/>
                <w:sz w:val="19"/>
                <w:szCs w:val="19"/>
              </w:rPr>
              <w:t>Public API, widely used in published research, documented endpoints</w:t>
            </w:r>
          </w:p>
        </w:tc>
      </w:tr>
      <w:tr w:rsidR="006C3883" w14:paraId="05C183C4" w14:textId="77777777">
        <w:tblPrEx>
          <w:tblCellMar>
            <w:top w:w="0" w:type="dxa"/>
            <w:bottom w:w="0" w:type="dxa"/>
          </w:tblCellMar>
        </w:tblPrEx>
        <w:tc>
          <w:tcPr>
            <w:tcW w:w="2100" w:type="dxa"/>
            <w:shd w:val="clear" w:color="auto" w:fill="DEEBF7"/>
            <w:tcMar>
              <w:top w:w="70" w:type="dxa"/>
              <w:left w:w="100" w:type="dxa"/>
              <w:bottom w:w="70" w:type="dxa"/>
              <w:right w:w="100" w:type="dxa"/>
            </w:tcMar>
          </w:tcPr>
          <w:p w14:paraId="3D3B344E" w14:textId="77777777" w:rsidR="006C3883" w:rsidRDefault="00000000" w:rsidP="00223FF5">
            <w:pPr>
              <w:spacing w:line="276" w:lineRule="auto"/>
              <w:jc w:val="both"/>
            </w:pPr>
            <w:r>
              <w:rPr>
                <w:color w:val="000000"/>
                <w:sz w:val="19"/>
                <w:szCs w:val="19"/>
              </w:rPr>
              <w:t>Binance Public API</w:t>
            </w:r>
          </w:p>
        </w:tc>
        <w:tc>
          <w:tcPr>
            <w:tcW w:w="3200" w:type="dxa"/>
            <w:shd w:val="clear" w:color="auto" w:fill="DEEBF7"/>
            <w:tcMar>
              <w:top w:w="70" w:type="dxa"/>
              <w:left w:w="100" w:type="dxa"/>
              <w:bottom w:w="70" w:type="dxa"/>
              <w:right w:w="100" w:type="dxa"/>
            </w:tcMar>
          </w:tcPr>
          <w:p w14:paraId="23526017" w14:textId="77777777" w:rsidR="006C3883" w:rsidRDefault="00000000" w:rsidP="00223FF5">
            <w:pPr>
              <w:spacing w:line="276" w:lineRule="auto"/>
              <w:jc w:val="both"/>
            </w:pPr>
            <w:r>
              <w:rPr>
                <w:color w:val="000000"/>
                <w:sz w:val="19"/>
                <w:szCs w:val="19"/>
              </w:rPr>
              <w:t>Historical OHLCV candlestick data</w:t>
            </w:r>
          </w:p>
        </w:tc>
        <w:tc>
          <w:tcPr>
            <w:tcW w:w="3700" w:type="dxa"/>
            <w:shd w:val="clear" w:color="auto" w:fill="DEEBF7"/>
            <w:tcMar>
              <w:top w:w="70" w:type="dxa"/>
              <w:left w:w="100" w:type="dxa"/>
              <w:bottom w:w="70" w:type="dxa"/>
              <w:right w:w="100" w:type="dxa"/>
            </w:tcMar>
          </w:tcPr>
          <w:p w14:paraId="2A3D1E56" w14:textId="1CAF69AC" w:rsidR="006C3883" w:rsidRDefault="00000000" w:rsidP="00223FF5">
            <w:pPr>
              <w:spacing w:line="276" w:lineRule="auto"/>
              <w:jc w:val="both"/>
            </w:pPr>
            <w:r>
              <w:rPr>
                <w:color w:val="000000"/>
                <w:sz w:val="19"/>
                <w:szCs w:val="19"/>
              </w:rPr>
              <w:t xml:space="preserve">Data from the exchange where the trades </w:t>
            </w:r>
            <w:proofErr w:type="gramStart"/>
            <w:r>
              <w:rPr>
                <w:color w:val="000000"/>
                <w:sz w:val="19"/>
                <w:szCs w:val="19"/>
              </w:rPr>
              <w:t>actually occurred</w:t>
            </w:r>
            <w:proofErr w:type="gramEnd"/>
            <w:r w:rsidR="00223FF5">
              <w:rPr>
                <w:color w:val="000000"/>
                <w:sz w:val="19"/>
                <w:szCs w:val="19"/>
              </w:rPr>
              <w:t xml:space="preserve">, </w:t>
            </w:r>
            <w:r>
              <w:rPr>
                <w:color w:val="000000"/>
                <w:sz w:val="19"/>
                <w:szCs w:val="19"/>
              </w:rPr>
              <w:t>a primary source, not an aggregator</w:t>
            </w:r>
          </w:p>
        </w:tc>
      </w:tr>
      <w:tr w:rsidR="006C3883" w14:paraId="4E8B1D79" w14:textId="77777777">
        <w:tblPrEx>
          <w:tblCellMar>
            <w:top w:w="0" w:type="dxa"/>
            <w:bottom w:w="0" w:type="dxa"/>
          </w:tblCellMar>
        </w:tblPrEx>
        <w:tc>
          <w:tcPr>
            <w:tcW w:w="2100" w:type="dxa"/>
            <w:tcMar>
              <w:top w:w="70" w:type="dxa"/>
              <w:left w:w="100" w:type="dxa"/>
              <w:bottom w:w="70" w:type="dxa"/>
              <w:right w:w="100" w:type="dxa"/>
            </w:tcMar>
          </w:tcPr>
          <w:p w14:paraId="6BE8A45B" w14:textId="77777777" w:rsidR="006C3883" w:rsidRDefault="00000000" w:rsidP="00223FF5">
            <w:pPr>
              <w:spacing w:line="276" w:lineRule="auto"/>
              <w:jc w:val="both"/>
            </w:pPr>
            <w:proofErr w:type="spellStart"/>
            <w:r>
              <w:rPr>
                <w:color w:val="000000"/>
                <w:sz w:val="19"/>
                <w:szCs w:val="19"/>
              </w:rPr>
              <w:t>Etherscan</w:t>
            </w:r>
            <w:proofErr w:type="spellEnd"/>
            <w:r>
              <w:rPr>
                <w:color w:val="000000"/>
                <w:sz w:val="19"/>
                <w:szCs w:val="19"/>
              </w:rPr>
              <w:t xml:space="preserve"> / Dune Analytics</w:t>
            </w:r>
          </w:p>
        </w:tc>
        <w:tc>
          <w:tcPr>
            <w:tcW w:w="3200" w:type="dxa"/>
            <w:tcMar>
              <w:top w:w="70" w:type="dxa"/>
              <w:left w:w="100" w:type="dxa"/>
              <w:bottom w:w="70" w:type="dxa"/>
              <w:right w:w="100" w:type="dxa"/>
            </w:tcMar>
          </w:tcPr>
          <w:p w14:paraId="56F63310" w14:textId="77777777" w:rsidR="006C3883" w:rsidRDefault="00000000" w:rsidP="00223FF5">
            <w:pPr>
              <w:spacing w:line="276" w:lineRule="auto"/>
              <w:jc w:val="both"/>
            </w:pPr>
            <w:r>
              <w:rPr>
                <w:color w:val="000000"/>
                <w:sz w:val="19"/>
                <w:szCs w:val="19"/>
              </w:rPr>
              <w:t>Exchange inflows and outflows, whale wallet movements, active addresses</w:t>
            </w:r>
          </w:p>
        </w:tc>
        <w:tc>
          <w:tcPr>
            <w:tcW w:w="3700" w:type="dxa"/>
            <w:tcMar>
              <w:top w:w="70" w:type="dxa"/>
              <w:left w:w="100" w:type="dxa"/>
              <w:bottom w:w="70" w:type="dxa"/>
              <w:right w:w="100" w:type="dxa"/>
            </w:tcMar>
          </w:tcPr>
          <w:p w14:paraId="3E11DE54" w14:textId="0E6B11FF" w:rsidR="006C3883" w:rsidRDefault="00000000" w:rsidP="00223FF5">
            <w:pPr>
              <w:spacing w:line="276" w:lineRule="auto"/>
              <w:jc w:val="both"/>
            </w:pPr>
            <w:r>
              <w:rPr>
                <w:color w:val="000000"/>
                <w:sz w:val="19"/>
                <w:szCs w:val="19"/>
              </w:rPr>
              <w:t>Read directly from the public blockchain ledger</w:t>
            </w:r>
            <w:r w:rsidR="00223FF5">
              <w:rPr>
                <w:color w:val="000000"/>
                <w:sz w:val="19"/>
                <w:szCs w:val="19"/>
              </w:rPr>
              <w:t xml:space="preserve">, </w:t>
            </w:r>
            <w:r>
              <w:rPr>
                <w:color w:val="000000"/>
                <w:sz w:val="19"/>
                <w:szCs w:val="19"/>
              </w:rPr>
              <w:t xml:space="preserve">cryptographically </w:t>
            </w:r>
            <w:proofErr w:type="gramStart"/>
            <w:r>
              <w:rPr>
                <w:color w:val="000000"/>
                <w:sz w:val="19"/>
                <w:szCs w:val="19"/>
              </w:rPr>
              <w:t>verifiable</w:t>
            </w:r>
            <w:proofErr w:type="gramEnd"/>
            <w:r>
              <w:rPr>
                <w:color w:val="000000"/>
                <w:sz w:val="19"/>
                <w:szCs w:val="19"/>
              </w:rPr>
              <w:t xml:space="preserve"> and impossible to falsify</w:t>
            </w:r>
          </w:p>
        </w:tc>
      </w:tr>
      <w:tr w:rsidR="006C3883" w14:paraId="2C70180C" w14:textId="77777777">
        <w:tblPrEx>
          <w:tblCellMar>
            <w:top w:w="0" w:type="dxa"/>
            <w:bottom w:w="0" w:type="dxa"/>
          </w:tblCellMar>
        </w:tblPrEx>
        <w:tc>
          <w:tcPr>
            <w:tcW w:w="2100" w:type="dxa"/>
            <w:shd w:val="clear" w:color="auto" w:fill="DEEBF7"/>
            <w:tcMar>
              <w:top w:w="70" w:type="dxa"/>
              <w:left w:w="100" w:type="dxa"/>
              <w:bottom w:w="70" w:type="dxa"/>
              <w:right w:w="100" w:type="dxa"/>
            </w:tcMar>
          </w:tcPr>
          <w:p w14:paraId="49F68672" w14:textId="77777777" w:rsidR="006C3883" w:rsidRDefault="00000000" w:rsidP="00223FF5">
            <w:pPr>
              <w:spacing w:line="276" w:lineRule="auto"/>
              <w:jc w:val="both"/>
            </w:pPr>
            <w:proofErr w:type="spellStart"/>
            <w:r>
              <w:rPr>
                <w:color w:val="000000"/>
                <w:sz w:val="19"/>
                <w:szCs w:val="19"/>
              </w:rPr>
              <w:t>CryptoPanic</w:t>
            </w:r>
            <w:proofErr w:type="spellEnd"/>
            <w:r>
              <w:rPr>
                <w:color w:val="000000"/>
                <w:sz w:val="19"/>
                <w:szCs w:val="19"/>
              </w:rPr>
              <w:t xml:space="preserve"> / news RSS archives</w:t>
            </w:r>
          </w:p>
        </w:tc>
        <w:tc>
          <w:tcPr>
            <w:tcW w:w="3200" w:type="dxa"/>
            <w:shd w:val="clear" w:color="auto" w:fill="DEEBF7"/>
            <w:tcMar>
              <w:top w:w="70" w:type="dxa"/>
              <w:left w:w="100" w:type="dxa"/>
              <w:bottom w:w="70" w:type="dxa"/>
              <w:right w:w="100" w:type="dxa"/>
            </w:tcMar>
          </w:tcPr>
          <w:p w14:paraId="119094F0" w14:textId="77777777" w:rsidR="006C3883" w:rsidRDefault="00000000" w:rsidP="00223FF5">
            <w:pPr>
              <w:spacing w:line="276" w:lineRule="auto"/>
              <w:jc w:val="both"/>
            </w:pPr>
            <w:r>
              <w:rPr>
                <w:color w:val="000000"/>
                <w:sz w:val="19"/>
                <w:szCs w:val="19"/>
              </w:rPr>
              <w:t>Timestamped news headlines</w:t>
            </w:r>
          </w:p>
        </w:tc>
        <w:tc>
          <w:tcPr>
            <w:tcW w:w="3700" w:type="dxa"/>
            <w:shd w:val="clear" w:color="auto" w:fill="DEEBF7"/>
            <w:tcMar>
              <w:top w:w="70" w:type="dxa"/>
              <w:left w:w="100" w:type="dxa"/>
              <w:bottom w:w="70" w:type="dxa"/>
              <w:right w:w="100" w:type="dxa"/>
            </w:tcMar>
          </w:tcPr>
          <w:p w14:paraId="72AE86A3" w14:textId="77777777" w:rsidR="006C3883" w:rsidRDefault="00000000" w:rsidP="00223FF5">
            <w:pPr>
              <w:spacing w:line="276" w:lineRule="auto"/>
              <w:jc w:val="both"/>
            </w:pPr>
            <w:r>
              <w:rPr>
                <w:color w:val="000000"/>
                <w:sz w:val="19"/>
                <w:szCs w:val="19"/>
              </w:rPr>
              <w:t>Published items carrying verifiable publication timestamps</w:t>
            </w:r>
          </w:p>
        </w:tc>
      </w:tr>
      <w:tr w:rsidR="006C3883" w14:paraId="0A1582DC" w14:textId="77777777">
        <w:tblPrEx>
          <w:tblCellMar>
            <w:top w:w="0" w:type="dxa"/>
            <w:bottom w:w="0" w:type="dxa"/>
          </w:tblCellMar>
        </w:tblPrEx>
        <w:tc>
          <w:tcPr>
            <w:tcW w:w="2100" w:type="dxa"/>
            <w:tcMar>
              <w:top w:w="70" w:type="dxa"/>
              <w:left w:w="100" w:type="dxa"/>
              <w:bottom w:w="70" w:type="dxa"/>
              <w:right w:w="100" w:type="dxa"/>
            </w:tcMar>
          </w:tcPr>
          <w:p w14:paraId="63574F83" w14:textId="77777777" w:rsidR="006C3883" w:rsidRDefault="00000000" w:rsidP="00223FF5">
            <w:pPr>
              <w:spacing w:line="276" w:lineRule="auto"/>
              <w:jc w:val="both"/>
            </w:pPr>
            <w:r>
              <w:rPr>
                <w:color w:val="000000"/>
                <w:sz w:val="19"/>
                <w:szCs w:val="19"/>
              </w:rPr>
              <w:t>Reddit Public API</w:t>
            </w:r>
          </w:p>
        </w:tc>
        <w:tc>
          <w:tcPr>
            <w:tcW w:w="3200" w:type="dxa"/>
            <w:tcMar>
              <w:top w:w="70" w:type="dxa"/>
              <w:left w:w="100" w:type="dxa"/>
              <w:bottom w:w="70" w:type="dxa"/>
              <w:right w:w="100" w:type="dxa"/>
            </w:tcMar>
          </w:tcPr>
          <w:p w14:paraId="2792358D" w14:textId="77777777" w:rsidR="006C3883" w:rsidRDefault="00000000" w:rsidP="00223FF5">
            <w:pPr>
              <w:spacing w:line="276" w:lineRule="auto"/>
              <w:jc w:val="both"/>
            </w:pPr>
            <w:r>
              <w:rPr>
                <w:color w:val="000000"/>
                <w:sz w:val="19"/>
                <w:szCs w:val="19"/>
              </w:rPr>
              <w:t>Public community discussion</w:t>
            </w:r>
          </w:p>
        </w:tc>
        <w:tc>
          <w:tcPr>
            <w:tcW w:w="3700" w:type="dxa"/>
            <w:tcMar>
              <w:top w:w="70" w:type="dxa"/>
              <w:left w:w="100" w:type="dxa"/>
              <w:bottom w:w="70" w:type="dxa"/>
              <w:right w:w="100" w:type="dxa"/>
            </w:tcMar>
          </w:tcPr>
          <w:p w14:paraId="2F1D1759" w14:textId="77777777" w:rsidR="006C3883" w:rsidRDefault="00000000" w:rsidP="00223FF5">
            <w:pPr>
              <w:spacing w:line="276" w:lineRule="auto"/>
              <w:jc w:val="both"/>
            </w:pPr>
            <w:r>
              <w:rPr>
                <w:color w:val="000000"/>
                <w:sz w:val="19"/>
                <w:szCs w:val="19"/>
              </w:rPr>
              <w:t>Public posts with API-provided timestamps</w:t>
            </w:r>
          </w:p>
        </w:tc>
      </w:tr>
    </w:tbl>
    <w:p w14:paraId="7649D702" w14:textId="77777777" w:rsidR="006C3883" w:rsidRDefault="00000000" w:rsidP="00223FF5">
      <w:pPr>
        <w:pStyle w:val="Heading2"/>
        <w:spacing w:before="300" w:after="180" w:line="276" w:lineRule="auto"/>
        <w:jc w:val="both"/>
      </w:pPr>
      <w:proofErr w:type="gramStart"/>
      <w:r>
        <w:rPr>
          <w:b/>
          <w:bCs/>
          <w:color w:val="000000"/>
          <w:sz w:val="28"/>
          <w:szCs w:val="28"/>
        </w:rPr>
        <w:t>6.2  Did</w:t>
      </w:r>
      <w:proofErr w:type="gramEnd"/>
      <w:r>
        <w:rPr>
          <w:b/>
          <w:bCs/>
          <w:color w:val="000000"/>
          <w:sz w:val="28"/>
          <w:szCs w:val="28"/>
        </w:rPr>
        <w:t xml:space="preserve"> we make it ourselves?</w:t>
      </w:r>
    </w:p>
    <w:p w14:paraId="09CA6490" w14:textId="77777777" w:rsidR="006C3883" w:rsidRDefault="00000000" w:rsidP="00223FF5">
      <w:pPr>
        <w:spacing w:after="140" w:line="276" w:lineRule="auto"/>
        <w:ind w:firstLine="720"/>
        <w:jc w:val="both"/>
      </w:pPr>
      <w:r>
        <w:t xml:space="preserve">We assemble and label the dataset ourselves; we do not fabricate any part of it. The distinction should be stated precisely: no private or proprietary data is collected, every raw observation originates from a public API or the public blockchain, and our contribution is the alignment, the point-in-time construction and the crash labelling. The entire dataset </w:t>
      </w:r>
      <w:proofErr w:type="gramStart"/>
      <w:r>
        <w:t>regenerates</w:t>
      </w:r>
      <w:proofErr w:type="gramEnd"/>
      <w:r>
        <w:t xml:space="preserve"> from our scripts, so any third party can rebuild it exactly and check it.</w:t>
      </w:r>
    </w:p>
    <w:p w14:paraId="34808D1A" w14:textId="77777777" w:rsidR="006C3883" w:rsidRDefault="00000000" w:rsidP="00223FF5">
      <w:pPr>
        <w:pStyle w:val="Heading2"/>
        <w:spacing w:before="300" w:after="180" w:line="276" w:lineRule="auto"/>
        <w:jc w:val="both"/>
      </w:pPr>
      <w:proofErr w:type="gramStart"/>
      <w:r>
        <w:rPr>
          <w:b/>
          <w:bCs/>
          <w:color w:val="000000"/>
          <w:sz w:val="28"/>
          <w:szCs w:val="28"/>
        </w:rPr>
        <w:t>6.3  How</w:t>
      </w:r>
      <w:proofErr w:type="gramEnd"/>
      <w:r>
        <w:rPr>
          <w:b/>
          <w:bCs/>
          <w:color w:val="000000"/>
          <w:sz w:val="28"/>
          <w:szCs w:val="28"/>
        </w:rPr>
        <w:t xml:space="preserve"> it differs from the base paper</w:t>
      </w:r>
    </w:p>
    <w:p w14:paraId="42B1FF67" w14:textId="77777777" w:rsidR="006C3883" w:rsidRDefault="00000000" w:rsidP="00223FF5">
      <w:pPr>
        <w:keepNext/>
        <w:keepLines/>
        <w:spacing w:before="220" w:after="100" w:line="276" w:lineRule="auto"/>
        <w:jc w:val="both"/>
      </w:pPr>
      <w:r>
        <w:rPr>
          <w:i/>
          <w:iCs/>
          <w:sz w:val="22"/>
          <w:szCs w:val="22"/>
        </w:rPr>
        <w:t>Table 4.  Dataset comparison against the base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6C3883" w14:paraId="29D54D5A" w14:textId="77777777">
        <w:tblPrEx>
          <w:tblCellMar>
            <w:top w:w="0" w:type="dxa"/>
            <w:bottom w:w="0" w:type="dxa"/>
          </w:tblCellMar>
        </w:tblPrEx>
        <w:trPr>
          <w:tblHeader/>
        </w:trPr>
        <w:tc>
          <w:tcPr>
            <w:tcW w:w="1900" w:type="dxa"/>
            <w:shd w:val="clear" w:color="auto" w:fill="1F4E79"/>
            <w:tcMar>
              <w:top w:w="70" w:type="dxa"/>
              <w:left w:w="100" w:type="dxa"/>
              <w:bottom w:w="70" w:type="dxa"/>
              <w:right w:w="100" w:type="dxa"/>
            </w:tcMar>
          </w:tcPr>
          <w:p w14:paraId="419FEDE8" w14:textId="77777777" w:rsidR="006C3883" w:rsidRDefault="00000000" w:rsidP="00223FF5">
            <w:pPr>
              <w:spacing w:line="276" w:lineRule="auto"/>
              <w:jc w:val="both"/>
            </w:pPr>
            <w:r>
              <w:rPr>
                <w:b/>
                <w:bCs/>
                <w:color w:val="FFFFFF"/>
                <w:sz w:val="19"/>
                <w:szCs w:val="19"/>
              </w:rPr>
              <w:t>Dimension</w:t>
            </w:r>
          </w:p>
        </w:tc>
        <w:tc>
          <w:tcPr>
            <w:tcW w:w="3300" w:type="dxa"/>
            <w:shd w:val="clear" w:color="auto" w:fill="1F4E79"/>
            <w:tcMar>
              <w:top w:w="70" w:type="dxa"/>
              <w:left w:w="100" w:type="dxa"/>
              <w:bottom w:w="70" w:type="dxa"/>
              <w:right w:w="100" w:type="dxa"/>
            </w:tcMar>
          </w:tcPr>
          <w:p w14:paraId="2F76AECE" w14:textId="77777777" w:rsidR="006C3883" w:rsidRDefault="00000000" w:rsidP="00223FF5">
            <w:pPr>
              <w:spacing w:line="276" w:lineRule="auto"/>
              <w:jc w:val="both"/>
            </w:pPr>
            <w:r>
              <w:rPr>
                <w:b/>
                <w:bCs/>
                <w:color w:val="FFFFFF"/>
                <w:sz w:val="19"/>
                <w:szCs w:val="19"/>
              </w:rPr>
              <w:t>Base paper</w:t>
            </w:r>
          </w:p>
        </w:tc>
        <w:tc>
          <w:tcPr>
            <w:tcW w:w="3800" w:type="dxa"/>
            <w:shd w:val="clear" w:color="auto" w:fill="1F4E79"/>
            <w:tcMar>
              <w:top w:w="70" w:type="dxa"/>
              <w:left w:w="100" w:type="dxa"/>
              <w:bottom w:w="70" w:type="dxa"/>
              <w:right w:w="100" w:type="dxa"/>
            </w:tcMar>
          </w:tcPr>
          <w:p w14:paraId="771CE049" w14:textId="77777777" w:rsidR="006C3883" w:rsidRDefault="00000000" w:rsidP="00223FF5">
            <w:pPr>
              <w:spacing w:line="276" w:lineRule="auto"/>
              <w:jc w:val="both"/>
            </w:pPr>
            <w:r>
              <w:rPr>
                <w:b/>
                <w:bCs/>
                <w:color w:val="FFFFFF"/>
                <w:sz w:val="19"/>
                <w:szCs w:val="19"/>
              </w:rPr>
              <w:t>BOLT</w:t>
            </w:r>
          </w:p>
        </w:tc>
      </w:tr>
      <w:tr w:rsidR="006C3883" w14:paraId="42EE2946" w14:textId="77777777">
        <w:tblPrEx>
          <w:tblCellMar>
            <w:top w:w="0" w:type="dxa"/>
            <w:bottom w:w="0" w:type="dxa"/>
          </w:tblCellMar>
        </w:tblPrEx>
        <w:tc>
          <w:tcPr>
            <w:tcW w:w="1900" w:type="dxa"/>
            <w:tcMar>
              <w:top w:w="70" w:type="dxa"/>
              <w:left w:w="100" w:type="dxa"/>
              <w:bottom w:w="70" w:type="dxa"/>
              <w:right w:w="100" w:type="dxa"/>
            </w:tcMar>
          </w:tcPr>
          <w:p w14:paraId="770540D8" w14:textId="77777777" w:rsidR="006C3883" w:rsidRDefault="00000000" w:rsidP="00223FF5">
            <w:pPr>
              <w:spacing w:line="276" w:lineRule="auto"/>
              <w:jc w:val="both"/>
            </w:pPr>
            <w:r>
              <w:rPr>
                <w:color w:val="000000"/>
                <w:sz w:val="19"/>
                <w:szCs w:val="19"/>
              </w:rPr>
              <w:t>Assets</w:t>
            </w:r>
          </w:p>
        </w:tc>
        <w:tc>
          <w:tcPr>
            <w:tcW w:w="3300" w:type="dxa"/>
            <w:tcMar>
              <w:top w:w="70" w:type="dxa"/>
              <w:left w:w="100" w:type="dxa"/>
              <w:bottom w:w="70" w:type="dxa"/>
              <w:right w:w="100" w:type="dxa"/>
            </w:tcMar>
          </w:tcPr>
          <w:p w14:paraId="1F95A5CB" w14:textId="77777777" w:rsidR="006C3883" w:rsidRDefault="00000000" w:rsidP="00223FF5">
            <w:pPr>
              <w:spacing w:line="276" w:lineRule="auto"/>
              <w:jc w:val="both"/>
            </w:pPr>
            <w:r>
              <w:rPr>
                <w:color w:val="000000"/>
                <w:sz w:val="19"/>
                <w:szCs w:val="19"/>
              </w:rPr>
              <w:t>Bitcoin only</w:t>
            </w:r>
          </w:p>
        </w:tc>
        <w:tc>
          <w:tcPr>
            <w:tcW w:w="3800" w:type="dxa"/>
            <w:tcMar>
              <w:top w:w="70" w:type="dxa"/>
              <w:left w:w="100" w:type="dxa"/>
              <w:bottom w:w="70" w:type="dxa"/>
              <w:right w:w="100" w:type="dxa"/>
            </w:tcMar>
          </w:tcPr>
          <w:p w14:paraId="4B061205" w14:textId="77777777" w:rsidR="006C3883" w:rsidRDefault="00000000" w:rsidP="00223FF5">
            <w:pPr>
              <w:spacing w:line="276" w:lineRule="auto"/>
              <w:jc w:val="both"/>
            </w:pPr>
            <w:r>
              <w:rPr>
                <w:color w:val="000000"/>
                <w:sz w:val="19"/>
                <w:szCs w:val="19"/>
              </w:rPr>
              <w:t>Multiple leading cryptocurrencies, treated as an interacting set</w:t>
            </w:r>
          </w:p>
        </w:tc>
      </w:tr>
      <w:tr w:rsidR="006C3883" w14:paraId="0F371B88"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45B24C01" w14:textId="77777777" w:rsidR="006C3883" w:rsidRDefault="00000000" w:rsidP="00223FF5">
            <w:pPr>
              <w:spacing w:line="276" w:lineRule="auto"/>
              <w:jc w:val="both"/>
            </w:pPr>
            <w:r>
              <w:rPr>
                <w:color w:val="000000"/>
                <w:sz w:val="19"/>
                <w:szCs w:val="19"/>
              </w:rPr>
              <w:t>Target event</w:t>
            </w:r>
          </w:p>
        </w:tc>
        <w:tc>
          <w:tcPr>
            <w:tcW w:w="3300" w:type="dxa"/>
            <w:shd w:val="clear" w:color="auto" w:fill="DEEBF7"/>
            <w:tcMar>
              <w:top w:w="70" w:type="dxa"/>
              <w:left w:w="100" w:type="dxa"/>
              <w:bottom w:w="70" w:type="dxa"/>
              <w:right w:w="100" w:type="dxa"/>
            </w:tcMar>
          </w:tcPr>
          <w:p w14:paraId="641A9994" w14:textId="77777777" w:rsidR="006C3883" w:rsidRDefault="00000000" w:rsidP="00223FF5">
            <w:pPr>
              <w:spacing w:line="276" w:lineRule="auto"/>
              <w:jc w:val="both"/>
            </w:pPr>
            <w:r>
              <w:rPr>
                <w:color w:val="000000"/>
                <w:sz w:val="19"/>
                <w:szCs w:val="19"/>
              </w:rPr>
              <w:t>Pin-bar reversal (a candlestick microstructure pattern)</w:t>
            </w:r>
          </w:p>
        </w:tc>
        <w:tc>
          <w:tcPr>
            <w:tcW w:w="3800" w:type="dxa"/>
            <w:shd w:val="clear" w:color="auto" w:fill="DEEBF7"/>
            <w:tcMar>
              <w:top w:w="70" w:type="dxa"/>
              <w:left w:w="100" w:type="dxa"/>
              <w:bottom w:w="70" w:type="dxa"/>
              <w:right w:w="100" w:type="dxa"/>
            </w:tcMar>
          </w:tcPr>
          <w:p w14:paraId="6B82AD16" w14:textId="77777777" w:rsidR="006C3883" w:rsidRDefault="00000000" w:rsidP="00223FF5">
            <w:pPr>
              <w:spacing w:line="276" w:lineRule="auto"/>
              <w:jc w:val="both"/>
            </w:pPr>
            <w:r>
              <w:rPr>
                <w:color w:val="000000"/>
                <w:sz w:val="19"/>
                <w:szCs w:val="19"/>
              </w:rPr>
              <w:t>Severe drawdown beyond a defined threshold within a forward horizon</w:t>
            </w:r>
          </w:p>
        </w:tc>
      </w:tr>
      <w:tr w:rsidR="006C3883" w14:paraId="5B1CE452" w14:textId="77777777">
        <w:tblPrEx>
          <w:tblCellMar>
            <w:top w:w="0" w:type="dxa"/>
            <w:bottom w:w="0" w:type="dxa"/>
          </w:tblCellMar>
        </w:tblPrEx>
        <w:tc>
          <w:tcPr>
            <w:tcW w:w="1900" w:type="dxa"/>
            <w:tcMar>
              <w:top w:w="70" w:type="dxa"/>
              <w:left w:w="100" w:type="dxa"/>
              <w:bottom w:w="70" w:type="dxa"/>
              <w:right w:w="100" w:type="dxa"/>
            </w:tcMar>
          </w:tcPr>
          <w:p w14:paraId="5027F1AB" w14:textId="77777777" w:rsidR="006C3883" w:rsidRDefault="00000000" w:rsidP="00223FF5">
            <w:pPr>
              <w:spacing w:line="276" w:lineRule="auto"/>
              <w:jc w:val="both"/>
            </w:pPr>
            <w:r>
              <w:rPr>
                <w:color w:val="000000"/>
                <w:sz w:val="19"/>
                <w:szCs w:val="19"/>
              </w:rPr>
              <w:t>Market data</w:t>
            </w:r>
          </w:p>
        </w:tc>
        <w:tc>
          <w:tcPr>
            <w:tcW w:w="3300" w:type="dxa"/>
            <w:tcMar>
              <w:top w:w="70" w:type="dxa"/>
              <w:left w:w="100" w:type="dxa"/>
              <w:bottom w:w="70" w:type="dxa"/>
              <w:right w:w="100" w:type="dxa"/>
            </w:tcMar>
          </w:tcPr>
          <w:p w14:paraId="276F0EFB" w14:textId="77777777" w:rsidR="006C3883" w:rsidRDefault="00000000" w:rsidP="00223FF5">
            <w:pPr>
              <w:spacing w:line="276" w:lineRule="auto"/>
              <w:jc w:val="both"/>
            </w:pPr>
            <w:r>
              <w:rPr>
                <w:color w:val="000000"/>
                <w:sz w:val="19"/>
                <w:szCs w:val="19"/>
              </w:rPr>
              <w:t>Focus on non-conventional signals</w:t>
            </w:r>
          </w:p>
        </w:tc>
        <w:tc>
          <w:tcPr>
            <w:tcW w:w="3800" w:type="dxa"/>
            <w:tcMar>
              <w:top w:w="70" w:type="dxa"/>
              <w:left w:w="100" w:type="dxa"/>
              <w:bottom w:w="70" w:type="dxa"/>
              <w:right w:w="100" w:type="dxa"/>
            </w:tcMar>
          </w:tcPr>
          <w:p w14:paraId="6A9E6F33" w14:textId="77777777" w:rsidR="006C3883" w:rsidRDefault="00000000" w:rsidP="00223FF5">
            <w:pPr>
              <w:spacing w:line="276" w:lineRule="auto"/>
              <w:jc w:val="both"/>
            </w:pPr>
            <w:r>
              <w:rPr>
                <w:color w:val="000000"/>
                <w:sz w:val="19"/>
                <w:szCs w:val="19"/>
              </w:rPr>
              <w:t xml:space="preserve">Full market data plus </w:t>
            </w:r>
            <w:proofErr w:type="gramStart"/>
            <w:r>
              <w:rPr>
                <w:color w:val="000000"/>
                <w:sz w:val="19"/>
                <w:szCs w:val="19"/>
              </w:rPr>
              <w:t>on-chain</w:t>
            </w:r>
            <w:proofErr w:type="gramEnd"/>
            <w:r>
              <w:rPr>
                <w:color w:val="000000"/>
                <w:sz w:val="19"/>
                <w:szCs w:val="19"/>
              </w:rPr>
              <w:t xml:space="preserve"> plus sentiment</w:t>
            </w:r>
          </w:p>
        </w:tc>
      </w:tr>
      <w:tr w:rsidR="006C3883" w14:paraId="52D2A689"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7E701419" w14:textId="77777777" w:rsidR="006C3883" w:rsidRDefault="00000000" w:rsidP="00223FF5">
            <w:pPr>
              <w:spacing w:line="276" w:lineRule="auto"/>
              <w:jc w:val="both"/>
            </w:pPr>
            <w:r>
              <w:rPr>
                <w:color w:val="000000"/>
                <w:sz w:val="19"/>
                <w:szCs w:val="19"/>
              </w:rPr>
              <w:t>Cross-asset structure</w:t>
            </w:r>
          </w:p>
        </w:tc>
        <w:tc>
          <w:tcPr>
            <w:tcW w:w="3300" w:type="dxa"/>
            <w:shd w:val="clear" w:color="auto" w:fill="DEEBF7"/>
            <w:tcMar>
              <w:top w:w="70" w:type="dxa"/>
              <w:left w:w="100" w:type="dxa"/>
              <w:bottom w:w="70" w:type="dxa"/>
              <w:right w:w="100" w:type="dxa"/>
            </w:tcMar>
          </w:tcPr>
          <w:p w14:paraId="2CBFFC05" w14:textId="77777777" w:rsidR="006C3883" w:rsidRDefault="00000000" w:rsidP="00223FF5">
            <w:pPr>
              <w:spacing w:line="276" w:lineRule="auto"/>
              <w:jc w:val="both"/>
            </w:pPr>
            <w:r>
              <w:rPr>
                <w:color w:val="000000"/>
                <w:sz w:val="19"/>
                <w:szCs w:val="19"/>
              </w:rPr>
              <w:t>Not modelled</w:t>
            </w:r>
          </w:p>
        </w:tc>
        <w:tc>
          <w:tcPr>
            <w:tcW w:w="3800" w:type="dxa"/>
            <w:shd w:val="clear" w:color="auto" w:fill="DEEBF7"/>
            <w:tcMar>
              <w:top w:w="70" w:type="dxa"/>
              <w:left w:w="100" w:type="dxa"/>
              <w:bottom w:w="70" w:type="dxa"/>
              <w:right w:w="100" w:type="dxa"/>
            </w:tcMar>
          </w:tcPr>
          <w:p w14:paraId="5C3405E2" w14:textId="77777777" w:rsidR="006C3883" w:rsidRDefault="00000000" w:rsidP="00223FF5">
            <w:pPr>
              <w:spacing w:line="276" w:lineRule="auto"/>
              <w:jc w:val="both"/>
            </w:pPr>
            <w:r>
              <w:rPr>
                <w:color w:val="000000"/>
                <w:sz w:val="19"/>
                <w:szCs w:val="19"/>
              </w:rPr>
              <w:t>Correlation, lead-lag and contagion features across assets</w:t>
            </w:r>
          </w:p>
        </w:tc>
      </w:tr>
      <w:tr w:rsidR="006C3883" w14:paraId="5C1B6134" w14:textId="77777777">
        <w:tblPrEx>
          <w:tblCellMar>
            <w:top w:w="0" w:type="dxa"/>
            <w:bottom w:w="0" w:type="dxa"/>
          </w:tblCellMar>
        </w:tblPrEx>
        <w:tc>
          <w:tcPr>
            <w:tcW w:w="1900" w:type="dxa"/>
            <w:tcMar>
              <w:top w:w="70" w:type="dxa"/>
              <w:left w:w="100" w:type="dxa"/>
              <w:bottom w:w="70" w:type="dxa"/>
              <w:right w:w="100" w:type="dxa"/>
            </w:tcMar>
          </w:tcPr>
          <w:p w14:paraId="764BC423" w14:textId="77777777" w:rsidR="006C3883" w:rsidRDefault="00000000" w:rsidP="00223FF5">
            <w:pPr>
              <w:spacing w:line="276" w:lineRule="auto"/>
              <w:jc w:val="both"/>
            </w:pPr>
            <w:r>
              <w:rPr>
                <w:color w:val="000000"/>
                <w:sz w:val="19"/>
                <w:szCs w:val="19"/>
              </w:rPr>
              <w:t>Crisis coverage</w:t>
            </w:r>
          </w:p>
        </w:tc>
        <w:tc>
          <w:tcPr>
            <w:tcW w:w="3300" w:type="dxa"/>
            <w:tcMar>
              <w:top w:w="70" w:type="dxa"/>
              <w:left w:w="100" w:type="dxa"/>
              <w:bottom w:w="70" w:type="dxa"/>
              <w:right w:w="100" w:type="dxa"/>
            </w:tcMar>
          </w:tcPr>
          <w:p w14:paraId="53B061E8" w14:textId="77777777" w:rsidR="006C3883" w:rsidRDefault="00000000" w:rsidP="00223FF5">
            <w:pPr>
              <w:spacing w:line="276" w:lineRule="auto"/>
              <w:jc w:val="both"/>
            </w:pPr>
            <w:r>
              <w:rPr>
                <w:color w:val="000000"/>
                <w:sz w:val="19"/>
                <w:szCs w:val="19"/>
              </w:rPr>
              <w:t xml:space="preserve">Not </w:t>
            </w:r>
            <w:proofErr w:type="spellStart"/>
            <w:r>
              <w:rPr>
                <w:color w:val="000000"/>
                <w:sz w:val="19"/>
                <w:szCs w:val="19"/>
              </w:rPr>
              <w:t>organised</w:t>
            </w:r>
            <w:proofErr w:type="spellEnd"/>
            <w:r>
              <w:rPr>
                <w:color w:val="000000"/>
                <w:sz w:val="19"/>
                <w:szCs w:val="19"/>
              </w:rPr>
              <w:t xml:space="preserve"> around named crisis episodes</w:t>
            </w:r>
          </w:p>
        </w:tc>
        <w:tc>
          <w:tcPr>
            <w:tcW w:w="3800" w:type="dxa"/>
            <w:tcMar>
              <w:top w:w="70" w:type="dxa"/>
              <w:left w:w="100" w:type="dxa"/>
              <w:bottom w:w="70" w:type="dxa"/>
              <w:right w:w="100" w:type="dxa"/>
            </w:tcMar>
          </w:tcPr>
          <w:p w14:paraId="30A8F067" w14:textId="77777777" w:rsidR="006C3883" w:rsidRDefault="00000000" w:rsidP="00223FF5">
            <w:pPr>
              <w:spacing w:line="276" w:lineRule="auto"/>
              <w:jc w:val="both"/>
            </w:pPr>
            <w:r>
              <w:rPr>
                <w:color w:val="000000"/>
                <w:sz w:val="19"/>
                <w:szCs w:val="19"/>
              </w:rPr>
              <w:t>Deliberately spans Terra/LUNA, FTX and the USDC de-peg for validation</w:t>
            </w:r>
          </w:p>
        </w:tc>
      </w:tr>
      <w:tr w:rsidR="006C3883" w14:paraId="0A1DCE36"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216CF42A" w14:textId="77777777" w:rsidR="006C3883" w:rsidRDefault="00000000" w:rsidP="00223FF5">
            <w:pPr>
              <w:spacing w:line="276" w:lineRule="auto"/>
              <w:jc w:val="both"/>
            </w:pPr>
            <w:r>
              <w:rPr>
                <w:color w:val="000000"/>
                <w:sz w:val="19"/>
                <w:szCs w:val="19"/>
              </w:rPr>
              <w:t>Reproducibility</w:t>
            </w:r>
          </w:p>
        </w:tc>
        <w:tc>
          <w:tcPr>
            <w:tcW w:w="3300" w:type="dxa"/>
            <w:shd w:val="clear" w:color="auto" w:fill="DEEBF7"/>
            <w:tcMar>
              <w:top w:w="70" w:type="dxa"/>
              <w:left w:w="100" w:type="dxa"/>
              <w:bottom w:w="70" w:type="dxa"/>
              <w:right w:w="100" w:type="dxa"/>
            </w:tcMar>
          </w:tcPr>
          <w:p w14:paraId="6BDFB4CA" w14:textId="77777777" w:rsidR="006C3883" w:rsidRDefault="00000000" w:rsidP="00223FF5">
            <w:pPr>
              <w:spacing w:line="276" w:lineRule="auto"/>
              <w:jc w:val="both"/>
            </w:pPr>
            <w:r>
              <w:rPr>
                <w:color w:val="000000"/>
                <w:sz w:val="19"/>
                <w:szCs w:val="19"/>
              </w:rPr>
              <w:t>Dataset not released as a benchmark</w:t>
            </w:r>
          </w:p>
        </w:tc>
        <w:tc>
          <w:tcPr>
            <w:tcW w:w="3800" w:type="dxa"/>
            <w:shd w:val="clear" w:color="auto" w:fill="DEEBF7"/>
            <w:tcMar>
              <w:top w:w="70" w:type="dxa"/>
              <w:left w:w="100" w:type="dxa"/>
              <w:bottom w:w="70" w:type="dxa"/>
              <w:right w:w="100" w:type="dxa"/>
            </w:tcMar>
          </w:tcPr>
          <w:p w14:paraId="002798CE" w14:textId="77777777" w:rsidR="006C3883" w:rsidRDefault="00000000" w:rsidP="00223FF5">
            <w:pPr>
              <w:spacing w:line="276" w:lineRule="auto"/>
              <w:jc w:val="both"/>
            </w:pPr>
            <w:r>
              <w:rPr>
                <w:color w:val="000000"/>
                <w:sz w:val="19"/>
                <w:szCs w:val="19"/>
              </w:rPr>
              <w:t>Regenerable from scripts, released with the labelling protocol</w:t>
            </w:r>
          </w:p>
        </w:tc>
      </w:tr>
    </w:tbl>
    <w:p w14:paraId="347CAA03" w14:textId="17346D5B" w:rsidR="006C3883" w:rsidRDefault="00000000" w:rsidP="00223FF5">
      <w:pPr>
        <w:spacing w:after="140" w:line="276" w:lineRule="auto"/>
        <w:ind w:firstLine="720"/>
        <w:jc w:val="both"/>
      </w:pPr>
      <w:r>
        <w:lastRenderedPageBreak/>
        <w:t xml:space="preserve">The strongest single difference to lead with is the target. The base paper predicts a technical chart pattern; we predict a severe market decline of defined magnitude. These are different targets with different economic </w:t>
      </w:r>
      <w:proofErr w:type="gramStart"/>
      <w:r>
        <w:t>meaning</w:t>
      </w:r>
      <w:proofErr w:type="gramEnd"/>
      <w:r w:rsidR="00223FF5">
        <w:t xml:space="preserve">, </w:t>
      </w:r>
      <w:r>
        <w:t>a pin-bar reversal is a trading signal, whereas a crash is a systemic event. That is a substantive change of research question, not merely a change of dataset.</w:t>
      </w:r>
    </w:p>
    <w:p w14:paraId="2D930661" w14:textId="77777777" w:rsidR="006C3883" w:rsidRDefault="00000000" w:rsidP="00223FF5">
      <w:pPr>
        <w:pStyle w:val="Heading1"/>
        <w:spacing w:before="360" w:after="280" w:line="276" w:lineRule="auto"/>
        <w:jc w:val="both"/>
      </w:pPr>
      <w:r>
        <w:rPr>
          <w:b/>
          <w:bCs/>
          <w:color w:val="000000"/>
        </w:rPr>
        <w:t>7</w:t>
      </w:r>
      <w:proofErr w:type="gramStart"/>
      <w:r>
        <w:rPr>
          <w:b/>
          <w:bCs/>
          <w:color w:val="000000"/>
        </w:rPr>
        <w:t>.  Which</w:t>
      </w:r>
      <w:proofErr w:type="gramEnd"/>
      <w:r>
        <w:rPr>
          <w:b/>
          <w:bCs/>
          <w:color w:val="000000"/>
        </w:rPr>
        <w:t xml:space="preserve"> Neural Network Have We Used?</w:t>
      </w:r>
    </w:p>
    <w:p w14:paraId="7C6884E6" w14:textId="20719A65" w:rsidR="006C3883" w:rsidRDefault="00000000" w:rsidP="00223FF5">
      <w:pPr>
        <w:spacing w:after="140" w:line="276" w:lineRule="auto"/>
        <w:ind w:firstLine="720"/>
        <w:jc w:val="both"/>
      </w:pPr>
      <w:r>
        <w:t xml:space="preserve">An LSTM as the core sequence model, with a GRU variant for comparison. The LSTM is the same architecture used in the base paper, chosen deliberately so that our results are directly comparable against a published benchmark rather than against nothing. The GRU is a simpler gated recurrent architecture with fewer parameters, included because with rare events and limited data a smaller model frequently </w:t>
      </w:r>
      <w:proofErr w:type="spellStart"/>
      <w:r>
        <w:t>generalises</w:t>
      </w:r>
      <w:proofErr w:type="spellEnd"/>
      <w:r>
        <w:t xml:space="preserve"> better</w:t>
      </w:r>
      <w:r w:rsidR="00223FF5">
        <w:t xml:space="preserve">, </w:t>
      </w:r>
      <w:r>
        <w:t>a comparison the base paper never performed.</w:t>
      </w:r>
    </w:p>
    <w:p w14:paraId="50BF62F4" w14:textId="77777777" w:rsidR="006C3883" w:rsidRDefault="00000000" w:rsidP="00223FF5">
      <w:pPr>
        <w:spacing w:after="140" w:line="276" w:lineRule="auto"/>
        <w:ind w:firstLine="720"/>
        <w:jc w:val="both"/>
      </w:pPr>
      <w:r>
        <w:t>The LSTM is implemented from first principles in NumPy. This provides direct access to internal gate activations, which is required for gradient-based attribution, and demonstrates command of the architecture rather than dependence on a framework abstraction.</w:t>
      </w:r>
    </w:p>
    <w:p w14:paraId="59440261" w14:textId="77777777" w:rsidR="006C3883" w:rsidRDefault="00000000" w:rsidP="00223FF5">
      <w:pPr>
        <w:pStyle w:val="Heading1"/>
        <w:spacing w:before="360" w:after="280" w:line="276" w:lineRule="auto"/>
        <w:jc w:val="both"/>
      </w:pPr>
      <w:r>
        <w:rPr>
          <w:b/>
          <w:bCs/>
          <w:color w:val="000000"/>
        </w:rPr>
        <w:t>8</w:t>
      </w:r>
      <w:proofErr w:type="gramStart"/>
      <w:r>
        <w:rPr>
          <w:b/>
          <w:bCs/>
          <w:color w:val="000000"/>
        </w:rPr>
        <w:t>.  Why</w:t>
      </w:r>
      <w:proofErr w:type="gramEnd"/>
      <w:r>
        <w:rPr>
          <w:b/>
          <w:bCs/>
          <w:color w:val="000000"/>
        </w:rPr>
        <w:t xml:space="preserve"> LSTM and </w:t>
      </w:r>
      <w:proofErr w:type="spellStart"/>
      <w:r>
        <w:rPr>
          <w:b/>
          <w:bCs/>
          <w:color w:val="000000"/>
        </w:rPr>
        <w:t>XGBoost</w:t>
      </w:r>
      <w:proofErr w:type="spellEnd"/>
      <w:r>
        <w:rPr>
          <w:b/>
          <w:bCs/>
          <w:color w:val="000000"/>
        </w:rPr>
        <w:t>, and Why These Models Only?</w:t>
      </w:r>
    </w:p>
    <w:p w14:paraId="211C37FB" w14:textId="77777777" w:rsidR="006C3883" w:rsidRDefault="00000000" w:rsidP="00223FF5">
      <w:pPr>
        <w:spacing w:after="140" w:line="276" w:lineRule="auto"/>
        <w:ind w:firstLine="720"/>
        <w:jc w:val="both"/>
      </w:pPr>
      <w:r>
        <w:t>This question must be answered carefully, because asserting a preference for deep learning without justification is the weakest available response. The two models address different halves of the problem.</w:t>
      </w:r>
    </w:p>
    <w:p w14:paraId="529C4B82" w14:textId="77777777" w:rsidR="006C3883" w:rsidRDefault="00000000" w:rsidP="00223FF5">
      <w:pPr>
        <w:spacing w:after="140" w:line="276" w:lineRule="auto"/>
        <w:ind w:firstLine="720"/>
        <w:jc w:val="both"/>
      </w:pPr>
      <w:r>
        <w:t xml:space="preserve">The LSTM handles the sequence. A crash is not </w:t>
      </w:r>
      <w:proofErr w:type="spellStart"/>
      <w:r>
        <w:t>signalled</w:t>
      </w:r>
      <w:proofErr w:type="spellEnd"/>
      <w:r>
        <w:t xml:space="preserve"> by a single variable crossing a threshold; it is </w:t>
      </w:r>
      <w:proofErr w:type="spellStart"/>
      <w:r>
        <w:t>signalled</w:t>
      </w:r>
      <w:proofErr w:type="spellEnd"/>
      <w:r>
        <w:t xml:space="preserve"> by a pattern developing across several days, in which volatility rises while exchange inflows accelerate and sentiment deteriorates. An LSTM reads a window in order and carries earlier context forward. A tabular model cannot represent this unless we hand-craft the temporal features ourselves, which requires knowing the answer in advance.</w:t>
      </w:r>
    </w:p>
    <w:p w14:paraId="5109A453" w14:textId="77777777" w:rsidR="006C3883" w:rsidRDefault="00000000" w:rsidP="00223FF5">
      <w:pPr>
        <w:spacing w:after="140" w:line="276" w:lineRule="auto"/>
        <w:ind w:firstLine="720"/>
        <w:jc w:val="both"/>
      </w:pPr>
      <w:proofErr w:type="spellStart"/>
      <w:r>
        <w:t>XGBoost</w:t>
      </w:r>
      <w:proofErr w:type="spellEnd"/>
      <w:r>
        <w:t xml:space="preserve"> handles the engineered tabular features. Gradient boosting is consistently strong on structured financial data, handles missing values and mixed scales natively, trains in seconds, and is highly compatible with SHAP attribution, on which our explainability layer depends. Several published comparisons find gradient boosting competitive with or superior to deep models on tabular cryptocurrency </w:t>
      </w:r>
      <w:proofErr w:type="gramStart"/>
      <w:r>
        <w:t>data, and</w:t>
      </w:r>
      <w:proofErr w:type="gramEnd"/>
      <w:r>
        <w:t xml:space="preserve"> ignoring that would be poor practice.</w:t>
      </w:r>
    </w:p>
    <w:p w14:paraId="79F1E5C8" w14:textId="77777777" w:rsidR="006C3883" w:rsidRDefault="00000000" w:rsidP="00223FF5">
      <w:pPr>
        <w:spacing w:after="140" w:line="276" w:lineRule="auto"/>
        <w:ind w:firstLine="720"/>
        <w:jc w:val="both"/>
      </w:pPr>
      <w:r>
        <w:t xml:space="preserve">The reason for including </w:t>
      </w:r>
      <w:proofErr w:type="spellStart"/>
      <w:r>
        <w:t>XGBoost</w:t>
      </w:r>
      <w:proofErr w:type="spellEnd"/>
      <w:r>
        <w:t xml:space="preserve"> when the base paper did not is precisely that the base paper did not. Its comparison set covered Logistic Regression, SVM and Random Forest; gradient boosting, the strongest classical family for this data type, was omitted. Adding it makes our comparison harder to win rather than easier, and a panel respects a team that competes against the strongest available alternative.</w:t>
      </w:r>
    </w:p>
    <w:p w14:paraId="50091D7F" w14:textId="77777777" w:rsidR="006C3883" w:rsidRDefault="00000000" w:rsidP="00223FF5">
      <w:pPr>
        <w:spacing w:after="140" w:line="276" w:lineRule="auto"/>
        <w:ind w:firstLine="720"/>
        <w:jc w:val="both"/>
      </w:pPr>
      <w:r>
        <w:t xml:space="preserve">Logistic Regression remains in our baseline set because it is the same simple linear comparator the base paper used. Retaining it preserves comparability with the published work </w:t>
      </w:r>
      <w:r>
        <w:lastRenderedPageBreak/>
        <w:t>and establishes a performance floor. If a linear model on identical features performs close to our deep model, we are obliged to report that.</w:t>
      </w:r>
    </w:p>
    <w:p w14:paraId="08BD6416" w14:textId="77777777" w:rsidR="006C3883" w:rsidRDefault="00000000" w:rsidP="00223FF5">
      <w:pPr>
        <w:pBdr>
          <w:left w:val="single" w:sz="12" w:space="12" w:color="1F4E79"/>
        </w:pBdr>
        <w:spacing w:before="140" w:after="180" w:line="276" w:lineRule="auto"/>
        <w:ind w:left="620" w:right="400"/>
        <w:jc w:val="both"/>
      </w:pPr>
      <w:r>
        <w:rPr>
          <w:i/>
          <w:iCs/>
          <w:color w:val="1F3864"/>
          <w:sz w:val="23"/>
          <w:szCs w:val="23"/>
        </w:rPr>
        <w:t xml:space="preserve">If pushed on why deep learning at all: we do not assume it is better, we test it. LSTM, GRU, </w:t>
      </w:r>
      <w:proofErr w:type="spellStart"/>
      <w:r>
        <w:rPr>
          <w:i/>
          <w:iCs/>
          <w:color w:val="1F3864"/>
          <w:sz w:val="23"/>
          <w:szCs w:val="23"/>
        </w:rPr>
        <w:t>XGBoost</w:t>
      </w:r>
      <w:proofErr w:type="spellEnd"/>
      <w:r>
        <w:rPr>
          <w:i/>
          <w:iCs/>
          <w:color w:val="1F3864"/>
          <w:sz w:val="23"/>
          <w:szCs w:val="23"/>
        </w:rPr>
        <w:t>, Random Forest, Logistic Regression and a simple volatility-threshold rule all run on identical features under identical validation. If a simpler model wins, we report that. The base paper found LSTM competitive at an F1 of roughly 0.70; our task is to establish whether that holds on a harder target against a stronger comparison set.</w:t>
      </w:r>
    </w:p>
    <w:p w14:paraId="1BC00F39" w14:textId="1C5C0728" w:rsidR="006C3883" w:rsidRDefault="00000000" w:rsidP="00223FF5">
      <w:pPr>
        <w:spacing w:line="276" w:lineRule="auto"/>
        <w:jc w:val="both"/>
      </w:pPr>
      <w:r>
        <w:rPr>
          <w:b/>
          <w:bCs/>
          <w:color w:val="000000"/>
          <w:sz w:val="32"/>
          <w:szCs w:val="32"/>
        </w:rPr>
        <w:t>9</w:t>
      </w:r>
      <w:proofErr w:type="gramStart"/>
      <w:r>
        <w:rPr>
          <w:b/>
          <w:bCs/>
          <w:color w:val="000000"/>
          <w:sz w:val="32"/>
          <w:szCs w:val="32"/>
        </w:rPr>
        <w:t>.  Feature</w:t>
      </w:r>
      <w:proofErr w:type="gramEnd"/>
      <w:r>
        <w:rPr>
          <w:b/>
          <w:bCs/>
          <w:color w:val="000000"/>
          <w:sz w:val="32"/>
          <w:szCs w:val="32"/>
        </w:rPr>
        <w:t xml:space="preserve"> Engineering: Base Paper Versus Ours</w:t>
      </w:r>
    </w:p>
    <w:p w14:paraId="3214CFD4" w14:textId="77777777" w:rsidR="006C3883" w:rsidRDefault="00000000" w:rsidP="00223FF5">
      <w:pPr>
        <w:spacing w:after="140" w:line="276" w:lineRule="auto"/>
        <w:ind w:firstLine="720"/>
        <w:jc w:val="both"/>
      </w:pPr>
      <w:r>
        <w:t>In the base paper, the authors deliberately avoided conventional price-based variables, arguing that these had already received extensive scrutiny, and instead engineered features from three non-conventional families: blockchain network metrics such as hash rate volatility and large-transaction counts, social sentiment scores, and regulatory event signals. SHAP was used to quantify each family’s contribution, and blockchain-native features were found to supply over a third of the predictive power. SMOTE was applied to address class imbalance.</w:t>
      </w:r>
    </w:p>
    <w:p w14:paraId="6375D4DA" w14:textId="77777777" w:rsidR="006C3883" w:rsidRDefault="00000000" w:rsidP="00223FF5">
      <w:pPr>
        <w:spacing w:after="140" w:line="276" w:lineRule="auto"/>
        <w:ind w:firstLine="720"/>
        <w:jc w:val="both"/>
      </w:pPr>
      <w:r>
        <w:t xml:space="preserve">In BOLT we retain the insight that on-chain features carry genuine predictive </w:t>
      </w:r>
      <w:proofErr w:type="gramStart"/>
      <w:r>
        <w:t>signal, and</w:t>
      </w:r>
      <w:proofErr w:type="gramEnd"/>
      <w:r>
        <w:t xml:space="preserve"> extend the feature space in four directions.</w:t>
      </w:r>
    </w:p>
    <w:p w14:paraId="3A738B0F" w14:textId="77777777" w:rsidR="006C3883" w:rsidRDefault="00000000" w:rsidP="00223FF5">
      <w:pPr>
        <w:keepNext/>
        <w:keepLines/>
        <w:spacing w:before="220" w:after="100" w:line="276" w:lineRule="auto"/>
        <w:jc w:val="both"/>
      </w:pPr>
      <w:r>
        <w:rPr>
          <w:i/>
          <w:iCs/>
          <w:sz w:val="22"/>
          <w:szCs w:val="22"/>
        </w:rPr>
        <w:t>Table 5.  Feature families in BOLT and their relationship to the base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00"/>
      </w:tblGrid>
      <w:tr w:rsidR="006C3883" w14:paraId="05608503" w14:textId="77777777">
        <w:tblPrEx>
          <w:tblCellMar>
            <w:top w:w="0" w:type="dxa"/>
            <w:bottom w:w="0" w:type="dxa"/>
          </w:tblCellMar>
        </w:tblPrEx>
        <w:trPr>
          <w:tblHeader/>
        </w:trPr>
        <w:tc>
          <w:tcPr>
            <w:tcW w:w="1900" w:type="dxa"/>
            <w:shd w:val="clear" w:color="auto" w:fill="1F4E79"/>
            <w:tcMar>
              <w:top w:w="70" w:type="dxa"/>
              <w:left w:w="100" w:type="dxa"/>
              <w:bottom w:w="70" w:type="dxa"/>
              <w:right w:w="100" w:type="dxa"/>
            </w:tcMar>
          </w:tcPr>
          <w:p w14:paraId="7DAA8C72" w14:textId="77777777" w:rsidR="006C3883" w:rsidRDefault="00000000" w:rsidP="00223FF5">
            <w:pPr>
              <w:spacing w:line="276" w:lineRule="auto"/>
              <w:jc w:val="both"/>
            </w:pPr>
            <w:r>
              <w:rPr>
                <w:b/>
                <w:bCs/>
                <w:color w:val="FFFFFF"/>
                <w:sz w:val="19"/>
                <w:szCs w:val="19"/>
              </w:rPr>
              <w:t>Feature family</w:t>
            </w:r>
          </w:p>
        </w:tc>
        <w:tc>
          <w:tcPr>
            <w:tcW w:w="3400" w:type="dxa"/>
            <w:shd w:val="clear" w:color="auto" w:fill="1F4E79"/>
            <w:tcMar>
              <w:top w:w="70" w:type="dxa"/>
              <w:left w:w="100" w:type="dxa"/>
              <w:bottom w:w="70" w:type="dxa"/>
              <w:right w:w="100" w:type="dxa"/>
            </w:tcMar>
          </w:tcPr>
          <w:p w14:paraId="12DAF4FE" w14:textId="77777777" w:rsidR="006C3883" w:rsidRDefault="00000000" w:rsidP="00223FF5">
            <w:pPr>
              <w:spacing w:line="276" w:lineRule="auto"/>
              <w:jc w:val="both"/>
            </w:pPr>
            <w:r>
              <w:rPr>
                <w:b/>
                <w:bCs/>
                <w:color w:val="FFFFFF"/>
                <w:sz w:val="19"/>
                <w:szCs w:val="19"/>
              </w:rPr>
              <w:t>Examples</w:t>
            </w:r>
          </w:p>
        </w:tc>
        <w:tc>
          <w:tcPr>
            <w:tcW w:w="3700" w:type="dxa"/>
            <w:shd w:val="clear" w:color="auto" w:fill="1F4E79"/>
            <w:tcMar>
              <w:top w:w="70" w:type="dxa"/>
              <w:left w:w="100" w:type="dxa"/>
              <w:bottom w:w="70" w:type="dxa"/>
              <w:right w:w="100" w:type="dxa"/>
            </w:tcMar>
          </w:tcPr>
          <w:p w14:paraId="74F5663F" w14:textId="77777777" w:rsidR="006C3883" w:rsidRDefault="00000000" w:rsidP="00223FF5">
            <w:pPr>
              <w:spacing w:line="276" w:lineRule="auto"/>
              <w:jc w:val="both"/>
            </w:pPr>
            <w:r>
              <w:rPr>
                <w:b/>
                <w:bCs/>
                <w:color w:val="FFFFFF"/>
                <w:sz w:val="19"/>
                <w:szCs w:val="19"/>
              </w:rPr>
              <w:t xml:space="preserve">Relationship </w:t>
            </w:r>
            <w:proofErr w:type="gramStart"/>
            <w:r>
              <w:rPr>
                <w:b/>
                <w:bCs/>
                <w:color w:val="FFFFFF"/>
                <w:sz w:val="19"/>
                <w:szCs w:val="19"/>
              </w:rPr>
              <w:t>to</w:t>
            </w:r>
            <w:proofErr w:type="gramEnd"/>
            <w:r>
              <w:rPr>
                <w:b/>
                <w:bCs/>
                <w:color w:val="FFFFFF"/>
                <w:sz w:val="19"/>
                <w:szCs w:val="19"/>
              </w:rPr>
              <w:t xml:space="preserve"> the base paper</w:t>
            </w:r>
          </w:p>
        </w:tc>
      </w:tr>
      <w:tr w:rsidR="006C3883" w14:paraId="7FD96807" w14:textId="77777777">
        <w:tblPrEx>
          <w:tblCellMar>
            <w:top w:w="0" w:type="dxa"/>
            <w:bottom w:w="0" w:type="dxa"/>
          </w:tblCellMar>
        </w:tblPrEx>
        <w:tc>
          <w:tcPr>
            <w:tcW w:w="1900" w:type="dxa"/>
            <w:tcMar>
              <w:top w:w="70" w:type="dxa"/>
              <w:left w:w="100" w:type="dxa"/>
              <w:bottom w:w="70" w:type="dxa"/>
              <w:right w:w="100" w:type="dxa"/>
            </w:tcMar>
          </w:tcPr>
          <w:p w14:paraId="62DB7CF5" w14:textId="77777777" w:rsidR="006C3883" w:rsidRDefault="00000000" w:rsidP="00223FF5">
            <w:pPr>
              <w:spacing w:line="276" w:lineRule="auto"/>
              <w:jc w:val="both"/>
            </w:pPr>
            <w:r>
              <w:rPr>
                <w:color w:val="000000"/>
                <w:sz w:val="19"/>
                <w:szCs w:val="19"/>
              </w:rPr>
              <w:t>Market / technical</w:t>
            </w:r>
          </w:p>
        </w:tc>
        <w:tc>
          <w:tcPr>
            <w:tcW w:w="3400" w:type="dxa"/>
            <w:tcMar>
              <w:top w:w="70" w:type="dxa"/>
              <w:left w:w="100" w:type="dxa"/>
              <w:bottom w:w="70" w:type="dxa"/>
              <w:right w:w="100" w:type="dxa"/>
            </w:tcMar>
          </w:tcPr>
          <w:p w14:paraId="1955BE0A" w14:textId="77777777" w:rsidR="006C3883" w:rsidRDefault="00000000" w:rsidP="00223FF5">
            <w:pPr>
              <w:spacing w:line="276" w:lineRule="auto"/>
              <w:jc w:val="both"/>
            </w:pPr>
            <w:proofErr w:type="spellStart"/>
            <w:r>
              <w:rPr>
                <w:color w:val="000000"/>
                <w:sz w:val="19"/>
                <w:szCs w:val="19"/>
              </w:rPr>
              <w:t>Realised</w:t>
            </w:r>
            <w:proofErr w:type="spellEnd"/>
            <w:r>
              <w:rPr>
                <w:color w:val="000000"/>
                <w:sz w:val="19"/>
                <w:szCs w:val="19"/>
              </w:rPr>
              <w:t xml:space="preserve"> volatility across multiple windows, volume anomaly z-scores, drawdown depth and duration, RSI, momentum</w:t>
            </w:r>
          </w:p>
        </w:tc>
        <w:tc>
          <w:tcPr>
            <w:tcW w:w="3700" w:type="dxa"/>
            <w:tcMar>
              <w:top w:w="70" w:type="dxa"/>
              <w:left w:w="100" w:type="dxa"/>
              <w:bottom w:w="70" w:type="dxa"/>
              <w:right w:w="100" w:type="dxa"/>
            </w:tcMar>
          </w:tcPr>
          <w:p w14:paraId="096842DA" w14:textId="563C2FBF" w:rsidR="006C3883" w:rsidRDefault="00000000" w:rsidP="00223FF5">
            <w:pPr>
              <w:spacing w:line="276" w:lineRule="auto"/>
              <w:jc w:val="both"/>
            </w:pPr>
            <w:r>
              <w:rPr>
                <w:color w:val="000000"/>
                <w:sz w:val="19"/>
                <w:szCs w:val="19"/>
              </w:rPr>
              <w:t>Added back</w:t>
            </w:r>
            <w:r w:rsidR="00223FF5">
              <w:rPr>
                <w:color w:val="000000"/>
                <w:sz w:val="19"/>
                <w:szCs w:val="19"/>
              </w:rPr>
              <w:t xml:space="preserve">, </w:t>
            </w:r>
            <w:r>
              <w:rPr>
                <w:color w:val="000000"/>
                <w:sz w:val="19"/>
                <w:szCs w:val="19"/>
              </w:rPr>
              <w:t>the base paper excluded these; we test whether they add value alongside on-chain signals</w:t>
            </w:r>
          </w:p>
        </w:tc>
      </w:tr>
      <w:tr w:rsidR="006C3883" w14:paraId="3C05C7A8"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5278D5A5" w14:textId="77777777" w:rsidR="006C3883" w:rsidRDefault="00000000" w:rsidP="00223FF5">
            <w:pPr>
              <w:spacing w:line="276" w:lineRule="auto"/>
              <w:jc w:val="both"/>
            </w:pPr>
            <w:proofErr w:type="gramStart"/>
            <w:r>
              <w:rPr>
                <w:color w:val="000000"/>
                <w:sz w:val="19"/>
                <w:szCs w:val="19"/>
              </w:rPr>
              <w:t>On-chain</w:t>
            </w:r>
            <w:proofErr w:type="gramEnd"/>
          </w:p>
        </w:tc>
        <w:tc>
          <w:tcPr>
            <w:tcW w:w="3400" w:type="dxa"/>
            <w:shd w:val="clear" w:color="auto" w:fill="DEEBF7"/>
            <w:tcMar>
              <w:top w:w="70" w:type="dxa"/>
              <w:left w:w="100" w:type="dxa"/>
              <w:bottom w:w="70" w:type="dxa"/>
              <w:right w:w="100" w:type="dxa"/>
            </w:tcMar>
          </w:tcPr>
          <w:p w14:paraId="00A8F396" w14:textId="77777777" w:rsidR="006C3883" w:rsidRDefault="00000000" w:rsidP="00223FF5">
            <w:pPr>
              <w:spacing w:line="276" w:lineRule="auto"/>
              <w:jc w:val="both"/>
            </w:pPr>
            <w:r>
              <w:rPr>
                <w:color w:val="000000"/>
                <w:sz w:val="19"/>
                <w:szCs w:val="19"/>
              </w:rPr>
              <w:t>Exchange net inflow, whale wallet concentration, active addresses, stablecoin flows</w:t>
            </w:r>
          </w:p>
        </w:tc>
        <w:tc>
          <w:tcPr>
            <w:tcW w:w="3700" w:type="dxa"/>
            <w:shd w:val="clear" w:color="auto" w:fill="DEEBF7"/>
            <w:tcMar>
              <w:top w:w="70" w:type="dxa"/>
              <w:left w:w="100" w:type="dxa"/>
              <w:bottom w:w="70" w:type="dxa"/>
              <w:right w:w="100" w:type="dxa"/>
            </w:tcMar>
          </w:tcPr>
          <w:p w14:paraId="6C957065" w14:textId="77777777" w:rsidR="006C3883" w:rsidRDefault="00000000" w:rsidP="00223FF5">
            <w:pPr>
              <w:spacing w:line="276" w:lineRule="auto"/>
              <w:jc w:val="both"/>
            </w:pPr>
            <w:r>
              <w:rPr>
                <w:color w:val="000000"/>
                <w:sz w:val="19"/>
                <w:szCs w:val="19"/>
              </w:rPr>
              <w:t>Retained and extended from the base paper</w:t>
            </w:r>
          </w:p>
        </w:tc>
      </w:tr>
      <w:tr w:rsidR="006C3883" w14:paraId="5D05FCCF" w14:textId="77777777">
        <w:tblPrEx>
          <w:tblCellMar>
            <w:top w:w="0" w:type="dxa"/>
            <w:bottom w:w="0" w:type="dxa"/>
          </w:tblCellMar>
        </w:tblPrEx>
        <w:tc>
          <w:tcPr>
            <w:tcW w:w="1900" w:type="dxa"/>
            <w:tcMar>
              <w:top w:w="70" w:type="dxa"/>
              <w:left w:w="100" w:type="dxa"/>
              <w:bottom w:w="70" w:type="dxa"/>
              <w:right w:w="100" w:type="dxa"/>
            </w:tcMar>
          </w:tcPr>
          <w:p w14:paraId="44C94BE0" w14:textId="77777777" w:rsidR="006C3883" w:rsidRDefault="00000000" w:rsidP="00223FF5">
            <w:pPr>
              <w:spacing w:line="276" w:lineRule="auto"/>
              <w:jc w:val="both"/>
            </w:pPr>
            <w:r>
              <w:rPr>
                <w:color w:val="000000"/>
                <w:sz w:val="19"/>
                <w:szCs w:val="19"/>
              </w:rPr>
              <w:t>Sentiment</w:t>
            </w:r>
          </w:p>
        </w:tc>
        <w:tc>
          <w:tcPr>
            <w:tcW w:w="3400" w:type="dxa"/>
            <w:tcMar>
              <w:top w:w="70" w:type="dxa"/>
              <w:left w:w="100" w:type="dxa"/>
              <w:bottom w:w="70" w:type="dxa"/>
              <w:right w:w="100" w:type="dxa"/>
            </w:tcMar>
          </w:tcPr>
          <w:p w14:paraId="7970B407" w14:textId="77777777" w:rsidR="006C3883" w:rsidRDefault="00000000" w:rsidP="00223FF5">
            <w:pPr>
              <w:spacing w:line="276" w:lineRule="auto"/>
              <w:jc w:val="both"/>
            </w:pPr>
            <w:r>
              <w:rPr>
                <w:color w:val="000000"/>
                <w:sz w:val="19"/>
                <w:szCs w:val="19"/>
              </w:rPr>
              <w:t>Headline polarity and intensity from finance-domain language models, strictly point-in-time</w:t>
            </w:r>
          </w:p>
        </w:tc>
        <w:tc>
          <w:tcPr>
            <w:tcW w:w="3700" w:type="dxa"/>
            <w:tcMar>
              <w:top w:w="70" w:type="dxa"/>
              <w:left w:w="100" w:type="dxa"/>
              <w:bottom w:w="70" w:type="dxa"/>
              <w:right w:w="100" w:type="dxa"/>
            </w:tcMar>
          </w:tcPr>
          <w:p w14:paraId="73B760B5" w14:textId="77777777" w:rsidR="006C3883" w:rsidRDefault="00000000" w:rsidP="00223FF5">
            <w:pPr>
              <w:spacing w:line="276" w:lineRule="auto"/>
              <w:jc w:val="both"/>
            </w:pPr>
            <w:r>
              <w:rPr>
                <w:color w:val="000000"/>
                <w:sz w:val="19"/>
                <w:szCs w:val="19"/>
              </w:rPr>
              <w:t>Retained, with a stricter timestamp guard</w:t>
            </w:r>
          </w:p>
        </w:tc>
      </w:tr>
      <w:tr w:rsidR="006C3883" w14:paraId="5A3ED37F" w14:textId="77777777">
        <w:tblPrEx>
          <w:tblCellMar>
            <w:top w:w="0" w:type="dxa"/>
            <w:bottom w:w="0" w:type="dxa"/>
          </w:tblCellMar>
        </w:tblPrEx>
        <w:tc>
          <w:tcPr>
            <w:tcW w:w="1900" w:type="dxa"/>
            <w:shd w:val="clear" w:color="auto" w:fill="DEEBF7"/>
            <w:tcMar>
              <w:top w:w="70" w:type="dxa"/>
              <w:left w:w="100" w:type="dxa"/>
              <w:bottom w:w="70" w:type="dxa"/>
              <w:right w:w="100" w:type="dxa"/>
            </w:tcMar>
          </w:tcPr>
          <w:p w14:paraId="49C0712F" w14:textId="77777777" w:rsidR="006C3883" w:rsidRDefault="00000000" w:rsidP="00223FF5">
            <w:pPr>
              <w:spacing w:line="276" w:lineRule="auto"/>
              <w:jc w:val="both"/>
            </w:pPr>
            <w:r>
              <w:rPr>
                <w:color w:val="000000"/>
                <w:sz w:val="19"/>
                <w:szCs w:val="19"/>
              </w:rPr>
              <w:t>Cross-asset / contagion</w:t>
            </w:r>
          </w:p>
        </w:tc>
        <w:tc>
          <w:tcPr>
            <w:tcW w:w="3400" w:type="dxa"/>
            <w:shd w:val="clear" w:color="auto" w:fill="DEEBF7"/>
            <w:tcMar>
              <w:top w:w="70" w:type="dxa"/>
              <w:left w:w="100" w:type="dxa"/>
              <w:bottom w:w="70" w:type="dxa"/>
              <w:right w:w="100" w:type="dxa"/>
            </w:tcMar>
          </w:tcPr>
          <w:p w14:paraId="76C2E5B2" w14:textId="77777777" w:rsidR="006C3883" w:rsidRDefault="00000000" w:rsidP="00223FF5">
            <w:pPr>
              <w:spacing w:line="276" w:lineRule="auto"/>
              <w:jc w:val="both"/>
            </w:pPr>
            <w:r>
              <w:rPr>
                <w:color w:val="000000"/>
                <w:sz w:val="19"/>
                <w:szCs w:val="19"/>
              </w:rPr>
              <w:t>Rolling correlation, lead-lag structure, network centrality across assets</w:t>
            </w:r>
          </w:p>
        </w:tc>
        <w:tc>
          <w:tcPr>
            <w:tcW w:w="3700" w:type="dxa"/>
            <w:shd w:val="clear" w:color="auto" w:fill="DEEBF7"/>
            <w:tcMar>
              <w:top w:w="70" w:type="dxa"/>
              <w:left w:w="100" w:type="dxa"/>
              <w:bottom w:w="70" w:type="dxa"/>
              <w:right w:w="100" w:type="dxa"/>
            </w:tcMar>
          </w:tcPr>
          <w:p w14:paraId="2DF2E4C3" w14:textId="56AE77A1" w:rsidR="006C3883" w:rsidRDefault="00000000" w:rsidP="00223FF5">
            <w:pPr>
              <w:spacing w:line="276" w:lineRule="auto"/>
              <w:jc w:val="both"/>
            </w:pPr>
            <w:r>
              <w:rPr>
                <w:color w:val="000000"/>
                <w:sz w:val="19"/>
                <w:szCs w:val="19"/>
              </w:rPr>
              <w:t>New</w:t>
            </w:r>
            <w:r w:rsidR="00223FF5">
              <w:rPr>
                <w:color w:val="000000"/>
                <w:sz w:val="19"/>
                <w:szCs w:val="19"/>
              </w:rPr>
              <w:t xml:space="preserve">, </w:t>
            </w:r>
            <w:r>
              <w:rPr>
                <w:color w:val="000000"/>
                <w:sz w:val="19"/>
                <w:szCs w:val="19"/>
              </w:rPr>
              <w:t>the base paper models a single asset; this addresses the authors’ own stated future work</w:t>
            </w:r>
          </w:p>
        </w:tc>
      </w:tr>
    </w:tbl>
    <w:p w14:paraId="374493FE" w14:textId="77777777" w:rsidR="006C3883" w:rsidRDefault="00000000" w:rsidP="00223FF5">
      <w:pPr>
        <w:spacing w:after="140" w:line="276" w:lineRule="auto"/>
        <w:ind w:firstLine="720"/>
        <w:jc w:val="both"/>
      </w:pPr>
      <w:r>
        <w:t xml:space="preserve">One methodological difference deserves explicit statement. We enforce a strict point-in-time constraint, under which a </w:t>
      </w:r>
      <w:proofErr w:type="gramStart"/>
      <w:r>
        <w:t>feature</w:t>
      </w:r>
      <w:proofErr w:type="gramEnd"/>
      <w:r>
        <w:t xml:space="preserve"> value on a given date may only use information publicly available on or before that date. Sentiment leakage, in which text published after a market move is used to “predict” it, is the most common silent failure in this literature. We treat this as a correctness requirement rather than a best-effort target.</w:t>
      </w:r>
    </w:p>
    <w:p w14:paraId="5CEE3D7B" w14:textId="77777777" w:rsidR="006C3883" w:rsidRDefault="00000000" w:rsidP="00223FF5">
      <w:pPr>
        <w:spacing w:after="140" w:line="276" w:lineRule="auto"/>
        <w:ind w:firstLine="720"/>
        <w:jc w:val="both"/>
      </w:pPr>
      <w:r>
        <w:t>On imbalance handling, the base paper used SMOTE and reported a nineteen per cent improvement in recall. We use class weighting and threshold tuning on the precision-recall curve, and will compare against SMOTE as an ablation, because synthetic oversampling of overlapping time-series windows can create near-duplicate examples that leak between folds. This is worth testing rather than assuming.</w:t>
      </w:r>
    </w:p>
    <w:p w14:paraId="3AB97917" w14:textId="77777777" w:rsidR="006C3883" w:rsidRDefault="00000000" w:rsidP="00223FF5">
      <w:pPr>
        <w:pStyle w:val="Heading1"/>
        <w:spacing w:before="360" w:after="280" w:line="276" w:lineRule="auto"/>
        <w:jc w:val="both"/>
      </w:pPr>
      <w:r>
        <w:rPr>
          <w:b/>
          <w:bCs/>
          <w:color w:val="000000"/>
        </w:rPr>
        <w:lastRenderedPageBreak/>
        <w:t>10</w:t>
      </w:r>
      <w:proofErr w:type="gramStart"/>
      <w:r>
        <w:rPr>
          <w:b/>
          <w:bCs/>
          <w:color w:val="000000"/>
        </w:rPr>
        <w:t>.  Can</w:t>
      </w:r>
      <w:proofErr w:type="gramEnd"/>
      <w:r>
        <w:rPr>
          <w:b/>
          <w:bCs/>
          <w:color w:val="000000"/>
        </w:rPr>
        <w:t xml:space="preserve"> We Use an API? If So, Where?</w:t>
      </w:r>
    </w:p>
    <w:p w14:paraId="78674649" w14:textId="77777777" w:rsidR="006C3883" w:rsidRDefault="00000000" w:rsidP="00223FF5">
      <w:pPr>
        <w:spacing w:after="140" w:line="276" w:lineRule="auto"/>
        <w:ind w:firstLine="720"/>
        <w:jc w:val="both"/>
      </w:pPr>
      <w:r>
        <w:t>Yes. APIs are used at three distinct points in the pipeline, and it is worth separating them clearly.</w:t>
      </w:r>
    </w:p>
    <w:p w14:paraId="2D00640B" w14:textId="77777777" w:rsidR="006C3883" w:rsidRDefault="00000000" w:rsidP="00223FF5">
      <w:pPr>
        <w:spacing w:after="140" w:line="276" w:lineRule="auto"/>
        <w:ind w:firstLine="720"/>
        <w:jc w:val="both"/>
      </w:pPr>
      <w:r>
        <w:t xml:space="preserve">The first and principal use is data ingestion: the </w:t>
      </w:r>
      <w:proofErr w:type="spellStart"/>
      <w:r>
        <w:t>CoinGecko</w:t>
      </w:r>
      <w:proofErr w:type="spellEnd"/>
      <w:r>
        <w:t xml:space="preserve"> API for market data, the Binance public API for historical candlesticks, the </w:t>
      </w:r>
      <w:proofErr w:type="spellStart"/>
      <w:r>
        <w:t>Etherscan</w:t>
      </w:r>
      <w:proofErr w:type="spellEnd"/>
      <w:r>
        <w:t xml:space="preserve"> API and Dune Analytics for on-chain flows, </w:t>
      </w:r>
      <w:proofErr w:type="spellStart"/>
      <w:r>
        <w:t>CryptoPanic</w:t>
      </w:r>
      <w:proofErr w:type="spellEnd"/>
      <w:r>
        <w:t xml:space="preserve"> and news RSS feeds for headlines, and the Reddit public API for community text. All provide free tiers sufficient for our data volumes. Collection is scheduled and </w:t>
      </w:r>
      <w:proofErr w:type="gramStart"/>
      <w:r>
        <w:t>cached</w:t>
      </w:r>
      <w:proofErr w:type="gramEnd"/>
      <w:r>
        <w:t xml:space="preserve"> locally, so the frozen dataset does not depend on continued API availability.</w:t>
      </w:r>
    </w:p>
    <w:p w14:paraId="030AC7DA" w14:textId="77777777" w:rsidR="006C3883" w:rsidRDefault="00000000" w:rsidP="00223FF5">
      <w:pPr>
        <w:spacing w:after="140" w:line="276" w:lineRule="auto"/>
        <w:ind w:firstLine="720"/>
        <w:jc w:val="both"/>
      </w:pPr>
      <w:r>
        <w:t>The second use is sentiment scoring, through pre-trained finance-domain language models accessed via the Hugging Face library and run locally at inference only. We neither train nor fine-tune a language model; that is outside our scope and unnecessary.</w:t>
      </w:r>
    </w:p>
    <w:p w14:paraId="4FA19F1B" w14:textId="77777777" w:rsidR="006C3883" w:rsidRDefault="00000000" w:rsidP="00223FF5">
      <w:pPr>
        <w:spacing w:after="140" w:line="276" w:lineRule="auto"/>
        <w:ind w:firstLine="720"/>
        <w:jc w:val="both"/>
      </w:pPr>
      <w:r>
        <w:t>The third use is blockchain interaction, through Web3 RPC endpoints on the Polygon Amoy test network, to submit and read prediction commitments from our smart contract.</w:t>
      </w:r>
    </w:p>
    <w:p w14:paraId="0661AF66" w14:textId="77777777" w:rsidR="006C3883" w:rsidRDefault="00000000" w:rsidP="00223FF5">
      <w:pPr>
        <w:spacing w:after="140" w:line="276" w:lineRule="auto"/>
        <w:ind w:firstLine="720"/>
        <w:jc w:val="both"/>
      </w:pPr>
      <w:r>
        <w:t>It is equally important to state where APIs are not used. No external service is called to produce the prediction itself; the model runs locally on our own data. A system whose output depended on a third-party black-box API could not be independently reproduced, which would defeat the entire purpose of the commitment layer.</w:t>
      </w:r>
    </w:p>
    <w:p w14:paraId="6C928556" w14:textId="77777777" w:rsidR="006C3883" w:rsidRDefault="00000000" w:rsidP="00223FF5">
      <w:pPr>
        <w:pStyle w:val="Heading1"/>
        <w:spacing w:before="360" w:after="280" w:line="276" w:lineRule="auto"/>
        <w:jc w:val="both"/>
      </w:pPr>
      <w:r>
        <w:rPr>
          <w:b/>
          <w:bCs/>
          <w:color w:val="000000"/>
        </w:rPr>
        <w:t>11</w:t>
      </w:r>
      <w:proofErr w:type="gramStart"/>
      <w:r>
        <w:rPr>
          <w:b/>
          <w:bCs/>
          <w:color w:val="000000"/>
        </w:rPr>
        <w:t>.  How</w:t>
      </w:r>
      <w:proofErr w:type="gramEnd"/>
      <w:r>
        <w:rPr>
          <w:b/>
          <w:bCs/>
          <w:color w:val="000000"/>
        </w:rPr>
        <w:t xml:space="preserve"> Our Model Is Better, and Which Gap It Fills</w:t>
      </w:r>
    </w:p>
    <w:p w14:paraId="4C1237AA" w14:textId="77777777" w:rsidR="006C3883" w:rsidRDefault="00000000" w:rsidP="00223FF5">
      <w:pPr>
        <w:spacing w:after="140" w:line="276" w:lineRule="auto"/>
        <w:ind w:firstLine="720"/>
        <w:jc w:val="both"/>
      </w:pPr>
      <w:r>
        <w:t>The gap should be stated as five specific, checkable absences in the base paper rather than as a vague claim of improvement.</w:t>
      </w:r>
    </w:p>
    <w:p w14:paraId="71EE65AC" w14:textId="77777777" w:rsidR="006C3883" w:rsidRDefault="00000000" w:rsidP="00223FF5">
      <w:pPr>
        <w:keepNext/>
        <w:keepLines/>
        <w:spacing w:before="220" w:after="100" w:line="276" w:lineRule="auto"/>
        <w:jc w:val="both"/>
      </w:pPr>
      <w:r>
        <w:rPr>
          <w:i/>
          <w:iCs/>
          <w:sz w:val="22"/>
          <w:szCs w:val="22"/>
        </w:rPr>
        <w:t>Table 6.  Gaps in the base paper and how BOLT addresses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00"/>
      </w:tblGrid>
      <w:tr w:rsidR="006C3883" w14:paraId="5331FA0A" w14:textId="77777777">
        <w:tblPrEx>
          <w:tblCellMar>
            <w:top w:w="0" w:type="dxa"/>
            <w:bottom w:w="0" w:type="dxa"/>
          </w:tblCellMar>
        </w:tblPrEx>
        <w:trPr>
          <w:tblHeader/>
        </w:trPr>
        <w:tc>
          <w:tcPr>
            <w:tcW w:w="700" w:type="dxa"/>
            <w:shd w:val="clear" w:color="auto" w:fill="1F4E79"/>
            <w:tcMar>
              <w:top w:w="70" w:type="dxa"/>
              <w:left w:w="100" w:type="dxa"/>
              <w:bottom w:w="70" w:type="dxa"/>
              <w:right w:w="100" w:type="dxa"/>
            </w:tcMar>
          </w:tcPr>
          <w:p w14:paraId="61BF6D6B" w14:textId="77777777" w:rsidR="006C3883" w:rsidRDefault="00000000" w:rsidP="00223FF5">
            <w:pPr>
              <w:spacing w:line="276" w:lineRule="auto"/>
              <w:jc w:val="both"/>
            </w:pPr>
            <w:r>
              <w:rPr>
                <w:b/>
                <w:bCs/>
                <w:color w:val="FFFFFF"/>
                <w:sz w:val="19"/>
                <w:szCs w:val="19"/>
              </w:rPr>
              <w:t>No.</w:t>
            </w:r>
          </w:p>
        </w:tc>
        <w:tc>
          <w:tcPr>
            <w:tcW w:w="3600" w:type="dxa"/>
            <w:shd w:val="clear" w:color="auto" w:fill="1F4E79"/>
            <w:tcMar>
              <w:top w:w="70" w:type="dxa"/>
              <w:left w:w="100" w:type="dxa"/>
              <w:bottom w:w="70" w:type="dxa"/>
              <w:right w:w="100" w:type="dxa"/>
            </w:tcMar>
          </w:tcPr>
          <w:p w14:paraId="07D59E7B" w14:textId="77777777" w:rsidR="006C3883" w:rsidRDefault="00000000" w:rsidP="00223FF5">
            <w:pPr>
              <w:spacing w:line="276" w:lineRule="auto"/>
              <w:jc w:val="both"/>
            </w:pPr>
            <w:r>
              <w:rPr>
                <w:b/>
                <w:bCs/>
                <w:color w:val="FFFFFF"/>
                <w:sz w:val="19"/>
                <w:szCs w:val="19"/>
              </w:rPr>
              <w:t>Gap in the base paper</w:t>
            </w:r>
          </w:p>
        </w:tc>
        <w:tc>
          <w:tcPr>
            <w:tcW w:w="4700" w:type="dxa"/>
            <w:shd w:val="clear" w:color="auto" w:fill="1F4E79"/>
            <w:tcMar>
              <w:top w:w="70" w:type="dxa"/>
              <w:left w:w="100" w:type="dxa"/>
              <w:bottom w:w="70" w:type="dxa"/>
              <w:right w:w="100" w:type="dxa"/>
            </w:tcMar>
          </w:tcPr>
          <w:p w14:paraId="292D8AC9" w14:textId="77777777" w:rsidR="006C3883" w:rsidRDefault="00000000" w:rsidP="00223FF5">
            <w:pPr>
              <w:spacing w:line="276" w:lineRule="auto"/>
              <w:jc w:val="both"/>
            </w:pPr>
            <w:r>
              <w:rPr>
                <w:b/>
                <w:bCs/>
                <w:color w:val="FFFFFF"/>
                <w:sz w:val="19"/>
                <w:szCs w:val="19"/>
              </w:rPr>
              <w:t>What BOLT does</w:t>
            </w:r>
          </w:p>
        </w:tc>
      </w:tr>
      <w:tr w:rsidR="006C3883" w14:paraId="475A44B0" w14:textId="77777777">
        <w:tblPrEx>
          <w:tblCellMar>
            <w:top w:w="0" w:type="dxa"/>
            <w:bottom w:w="0" w:type="dxa"/>
          </w:tblCellMar>
        </w:tblPrEx>
        <w:tc>
          <w:tcPr>
            <w:tcW w:w="700" w:type="dxa"/>
            <w:tcMar>
              <w:top w:w="70" w:type="dxa"/>
              <w:left w:w="100" w:type="dxa"/>
              <w:bottom w:w="70" w:type="dxa"/>
              <w:right w:w="100" w:type="dxa"/>
            </w:tcMar>
          </w:tcPr>
          <w:p w14:paraId="3F52343D" w14:textId="77777777" w:rsidR="006C3883" w:rsidRDefault="00000000" w:rsidP="00223FF5">
            <w:pPr>
              <w:spacing w:line="276" w:lineRule="auto"/>
              <w:jc w:val="both"/>
            </w:pPr>
            <w:r>
              <w:rPr>
                <w:color w:val="000000"/>
                <w:sz w:val="19"/>
                <w:szCs w:val="19"/>
              </w:rPr>
              <w:t>G1</w:t>
            </w:r>
          </w:p>
        </w:tc>
        <w:tc>
          <w:tcPr>
            <w:tcW w:w="3600" w:type="dxa"/>
            <w:tcMar>
              <w:top w:w="70" w:type="dxa"/>
              <w:left w:w="100" w:type="dxa"/>
              <w:bottom w:w="70" w:type="dxa"/>
              <w:right w:w="100" w:type="dxa"/>
            </w:tcMar>
          </w:tcPr>
          <w:p w14:paraId="4FAAE37F" w14:textId="77777777" w:rsidR="006C3883" w:rsidRDefault="00000000" w:rsidP="00223FF5">
            <w:pPr>
              <w:spacing w:line="276" w:lineRule="auto"/>
              <w:jc w:val="both"/>
            </w:pPr>
            <w:r>
              <w:rPr>
                <w:color w:val="000000"/>
                <w:sz w:val="19"/>
                <w:szCs w:val="19"/>
              </w:rPr>
              <w:t>Target is a technical chart pattern (pin-bar reversal) rather than a severe market decline</w:t>
            </w:r>
          </w:p>
        </w:tc>
        <w:tc>
          <w:tcPr>
            <w:tcW w:w="4700" w:type="dxa"/>
            <w:tcMar>
              <w:top w:w="70" w:type="dxa"/>
              <w:left w:w="100" w:type="dxa"/>
              <w:bottom w:w="70" w:type="dxa"/>
              <w:right w:w="100" w:type="dxa"/>
            </w:tcMar>
          </w:tcPr>
          <w:p w14:paraId="69E66915" w14:textId="1AF083E3" w:rsidR="006C3883" w:rsidRDefault="00000000" w:rsidP="00223FF5">
            <w:pPr>
              <w:spacing w:line="276" w:lineRule="auto"/>
              <w:jc w:val="both"/>
            </w:pPr>
            <w:r>
              <w:rPr>
                <w:color w:val="000000"/>
                <w:sz w:val="19"/>
                <w:szCs w:val="19"/>
              </w:rPr>
              <w:t>Predicts a drawdown beyond a defined threshold within a forward horizon</w:t>
            </w:r>
            <w:r w:rsidR="00223FF5">
              <w:rPr>
                <w:color w:val="000000"/>
                <w:sz w:val="19"/>
                <w:szCs w:val="19"/>
              </w:rPr>
              <w:t xml:space="preserve">, </w:t>
            </w:r>
            <w:r>
              <w:rPr>
                <w:color w:val="000000"/>
                <w:sz w:val="19"/>
                <w:szCs w:val="19"/>
              </w:rPr>
              <w:t>an economically meaningful event</w:t>
            </w:r>
          </w:p>
        </w:tc>
      </w:tr>
      <w:tr w:rsidR="006C3883" w14:paraId="52C4FD34" w14:textId="77777777">
        <w:tblPrEx>
          <w:tblCellMar>
            <w:top w:w="0" w:type="dxa"/>
            <w:bottom w:w="0" w:type="dxa"/>
          </w:tblCellMar>
        </w:tblPrEx>
        <w:tc>
          <w:tcPr>
            <w:tcW w:w="700" w:type="dxa"/>
            <w:shd w:val="clear" w:color="auto" w:fill="DEEBF7"/>
            <w:tcMar>
              <w:top w:w="70" w:type="dxa"/>
              <w:left w:w="100" w:type="dxa"/>
              <w:bottom w:w="70" w:type="dxa"/>
              <w:right w:w="100" w:type="dxa"/>
            </w:tcMar>
          </w:tcPr>
          <w:p w14:paraId="6D09E9A7" w14:textId="77777777" w:rsidR="006C3883" w:rsidRDefault="00000000" w:rsidP="00223FF5">
            <w:pPr>
              <w:spacing w:line="276" w:lineRule="auto"/>
              <w:jc w:val="both"/>
            </w:pPr>
            <w:r>
              <w:rPr>
                <w:color w:val="000000"/>
                <w:sz w:val="19"/>
                <w:szCs w:val="19"/>
              </w:rPr>
              <w:t>G2</w:t>
            </w:r>
          </w:p>
        </w:tc>
        <w:tc>
          <w:tcPr>
            <w:tcW w:w="3600" w:type="dxa"/>
            <w:shd w:val="clear" w:color="auto" w:fill="DEEBF7"/>
            <w:tcMar>
              <w:top w:w="70" w:type="dxa"/>
              <w:left w:w="100" w:type="dxa"/>
              <w:bottom w:w="70" w:type="dxa"/>
              <w:right w:w="100" w:type="dxa"/>
            </w:tcMar>
          </w:tcPr>
          <w:p w14:paraId="3055A414" w14:textId="77777777" w:rsidR="006C3883" w:rsidRDefault="00000000" w:rsidP="00223FF5">
            <w:pPr>
              <w:spacing w:line="276" w:lineRule="auto"/>
              <w:jc w:val="both"/>
            </w:pPr>
            <w:r>
              <w:rPr>
                <w:color w:val="000000"/>
                <w:sz w:val="19"/>
                <w:szCs w:val="19"/>
              </w:rPr>
              <w:t>Single asset (Bitcoin); no cross-asset structure. This is the authors’ own stated future work</w:t>
            </w:r>
          </w:p>
        </w:tc>
        <w:tc>
          <w:tcPr>
            <w:tcW w:w="4700" w:type="dxa"/>
            <w:shd w:val="clear" w:color="auto" w:fill="DEEBF7"/>
            <w:tcMar>
              <w:top w:w="70" w:type="dxa"/>
              <w:left w:w="100" w:type="dxa"/>
              <w:bottom w:w="70" w:type="dxa"/>
              <w:right w:w="100" w:type="dxa"/>
            </w:tcMar>
          </w:tcPr>
          <w:p w14:paraId="60846935" w14:textId="77777777" w:rsidR="006C3883" w:rsidRDefault="00000000" w:rsidP="00223FF5">
            <w:pPr>
              <w:spacing w:line="276" w:lineRule="auto"/>
              <w:jc w:val="both"/>
            </w:pPr>
            <w:r>
              <w:rPr>
                <w:color w:val="000000"/>
                <w:sz w:val="19"/>
                <w:szCs w:val="19"/>
              </w:rPr>
              <w:t>Multi-asset, with correlation, lead-lag and contagion features</w:t>
            </w:r>
          </w:p>
        </w:tc>
      </w:tr>
      <w:tr w:rsidR="006C3883" w14:paraId="46A933DE" w14:textId="77777777">
        <w:tblPrEx>
          <w:tblCellMar>
            <w:top w:w="0" w:type="dxa"/>
            <w:bottom w:w="0" w:type="dxa"/>
          </w:tblCellMar>
        </w:tblPrEx>
        <w:tc>
          <w:tcPr>
            <w:tcW w:w="700" w:type="dxa"/>
            <w:tcMar>
              <w:top w:w="70" w:type="dxa"/>
              <w:left w:w="100" w:type="dxa"/>
              <w:bottom w:w="70" w:type="dxa"/>
              <w:right w:w="100" w:type="dxa"/>
            </w:tcMar>
          </w:tcPr>
          <w:p w14:paraId="6A32A3C2" w14:textId="77777777" w:rsidR="006C3883" w:rsidRDefault="00000000" w:rsidP="00223FF5">
            <w:pPr>
              <w:spacing w:line="276" w:lineRule="auto"/>
              <w:jc w:val="both"/>
            </w:pPr>
            <w:r>
              <w:rPr>
                <w:color w:val="000000"/>
                <w:sz w:val="19"/>
                <w:szCs w:val="19"/>
              </w:rPr>
              <w:t>G3</w:t>
            </w:r>
          </w:p>
        </w:tc>
        <w:tc>
          <w:tcPr>
            <w:tcW w:w="3600" w:type="dxa"/>
            <w:tcMar>
              <w:top w:w="70" w:type="dxa"/>
              <w:left w:w="100" w:type="dxa"/>
              <w:bottom w:w="70" w:type="dxa"/>
              <w:right w:w="100" w:type="dxa"/>
            </w:tcMar>
          </w:tcPr>
          <w:p w14:paraId="33C12A96" w14:textId="77777777" w:rsidR="006C3883" w:rsidRDefault="00000000" w:rsidP="00223FF5">
            <w:pPr>
              <w:spacing w:line="276" w:lineRule="auto"/>
              <w:jc w:val="both"/>
            </w:pPr>
            <w:r>
              <w:rPr>
                <w:color w:val="000000"/>
                <w:sz w:val="19"/>
                <w:szCs w:val="19"/>
              </w:rPr>
              <w:t>Comparison set omits gradient boosting and GRU</w:t>
            </w:r>
          </w:p>
        </w:tc>
        <w:tc>
          <w:tcPr>
            <w:tcW w:w="4700" w:type="dxa"/>
            <w:tcMar>
              <w:top w:w="70" w:type="dxa"/>
              <w:left w:w="100" w:type="dxa"/>
              <w:bottom w:w="70" w:type="dxa"/>
              <w:right w:w="100" w:type="dxa"/>
            </w:tcMar>
          </w:tcPr>
          <w:p w14:paraId="148B7F8E" w14:textId="77777777" w:rsidR="006C3883" w:rsidRDefault="00000000" w:rsidP="00223FF5">
            <w:pPr>
              <w:spacing w:line="276" w:lineRule="auto"/>
              <w:jc w:val="both"/>
            </w:pPr>
            <w:r>
              <w:rPr>
                <w:color w:val="000000"/>
                <w:sz w:val="19"/>
                <w:szCs w:val="19"/>
              </w:rPr>
              <w:t xml:space="preserve">Benchmarks LSTM, GRU, </w:t>
            </w:r>
            <w:proofErr w:type="spellStart"/>
            <w:r>
              <w:rPr>
                <w:color w:val="000000"/>
                <w:sz w:val="19"/>
                <w:szCs w:val="19"/>
              </w:rPr>
              <w:t>XGBoost</w:t>
            </w:r>
            <w:proofErr w:type="spellEnd"/>
            <w:r>
              <w:rPr>
                <w:color w:val="000000"/>
                <w:sz w:val="19"/>
                <w:szCs w:val="19"/>
              </w:rPr>
              <w:t>, Random Forest, Logistic Regression and a volatility-threshold rule on identical features</w:t>
            </w:r>
          </w:p>
        </w:tc>
      </w:tr>
      <w:tr w:rsidR="006C3883" w14:paraId="2E531A24" w14:textId="77777777">
        <w:tblPrEx>
          <w:tblCellMar>
            <w:top w:w="0" w:type="dxa"/>
            <w:bottom w:w="0" w:type="dxa"/>
          </w:tblCellMar>
        </w:tblPrEx>
        <w:tc>
          <w:tcPr>
            <w:tcW w:w="700" w:type="dxa"/>
            <w:shd w:val="clear" w:color="auto" w:fill="DEEBF7"/>
            <w:tcMar>
              <w:top w:w="70" w:type="dxa"/>
              <w:left w:w="100" w:type="dxa"/>
              <w:bottom w:w="70" w:type="dxa"/>
              <w:right w:w="100" w:type="dxa"/>
            </w:tcMar>
          </w:tcPr>
          <w:p w14:paraId="643797D9" w14:textId="77777777" w:rsidR="006C3883" w:rsidRDefault="00000000" w:rsidP="00223FF5">
            <w:pPr>
              <w:spacing w:line="276" w:lineRule="auto"/>
              <w:jc w:val="both"/>
            </w:pPr>
            <w:r>
              <w:rPr>
                <w:color w:val="000000"/>
                <w:sz w:val="19"/>
                <w:szCs w:val="19"/>
              </w:rPr>
              <w:t>G4</w:t>
            </w:r>
          </w:p>
        </w:tc>
        <w:tc>
          <w:tcPr>
            <w:tcW w:w="3600" w:type="dxa"/>
            <w:shd w:val="clear" w:color="auto" w:fill="DEEBF7"/>
            <w:tcMar>
              <w:top w:w="70" w:type="dxa"/>
              <w:left w:w="100" w:type="dxa"/>
              <w:bottom w:w="70" w:type="dxa"/>
              <w:right w:w="100" w:type="dxa"/>
            </w:tcMar>
          </w:tcPr>
          <w:p w14:paraId="43C9559F" w14:textId="77777777" w:rsidR="006C3883" w:rsidRDefault="00000000" w:rsidP="00223FF5">
            <w:pPr>
              <w:spacing w:line="276" w:lineRule="auto"/>
              <w:jc w:val="both"/>
            </w:pPr>
            <w:r>
              <w:rPr>
                <w:color w:val="000000"/>
                <w:sz w:val="19"/>
                <w:szCs w:val="19"/>
              </w:rPr>
              <w:t>SHAP applied, but explanations never tested for stability across separate episodes</w:t>
            </w:r>
          </w:p>
        </w:tc>
        <w:tc>
          <w:tcPr>
            <w:tcW w:w="4700" w:type="dxa"/>
            <w:shd w:val="clear" w:color="auto" w:fill="DEEBF7"/>
            <w:tcMar>
              <w:top w:w="70" w:type="dxa"/>
              <w:left w:w="100" w:type="dxa"/>
              <w:bottom w:w="70" w:type="dxa"/>
              <w:right w:w="100" w:type="dxa"/>
            </w:tcMar>
          </w:tcPr>
          <w:p w14:paraId="1DE67CEC" w14:textId="623F9E6C" w:rsidR="006C3883" w:rsidRDefault="00000000" w:rsidP="00223FF5">
            <w:pPr>
              <w:spacing w:line="276" w:lineRule="auto"/>
              <w:jc w:val="both"/>
            </w:pPr>
            <w:r>
              <w:rPr>
                <w:color w:val="000000"/>
                <w:sz w:val="19"/>
                <w:szCs w:val="19"/>
              </w:rPr>
              <w:t>Measures whether the same drivers recur across independent crisis episodes</w:t>
            </w:r>
            <w:r w:rsidR="00223FF5">
              <w:rPr>
                <w:color w:val="000000"/>
                <w:sz w:val="19"/>
                <w:szCs w:val="19"/>
              </w:rPr>
              <w:t xml:space="preserve">, </w:t>
            </w:r>
            <w:r>
              <w:rPr>
                <w:color w:val="000000"/>
                <w:sz w:val="19"/>
                <w:szCs w:val="19"/>
              </w:rPr>
              <w:t>a reportable finding in either direction</w:t>
            </w:r>
          </w:p>
        </w:tc>
      </w:tr>
      <w:tr w:rsidR="006C3883" w14:paraId="24ED63A8" w14:textId="77777777">
        <w:tblPrEx>
          <w:tblCellMar>
            <w:top w:w="0" w:type="dxa"/>
            <w:bottom w:w="0" w:type="dxa"/>
          </w:tblCellMar>
        </w:tblPrEx>
        <w:tc>
          <w:tcPr>
            <w:tcW w:w="700" w:type="dxa"/>
            <w:tcMar>
              <w:top w:w="70" w:type="dxa"/>
              <w:left w:w="100" w:type="dxa"/>
              <w:bottom w:w="70" w:type="dxa"/>
              <w:right w:w="100" w:type="dxa"/>
            </w:tcMar>
          </w:tcPr>
          <w:p w14:paraId="451E9797" w14:textId="77777777" w:rsidR="006C3883" w:rsidRDefault="00000000" w:rsidP="00223FF5">
            <w:pPr>
              <w:spacing w:line="276" w:lineRule="auto"/>
              <w:jc w:val="both"/>
            </w:pPr>
            <w:r>
              <w:rPr>
                <w:color w:val="000000"/>
                <w:sz w:val="19"/>
                <w:szCs w:val="19"/>
              </w:rPr>
              <w:t>G5</w:t>
            </w:r>
          </w:p>
        </w:tc>
        <w:tc>
          <w:tcPr>
            <w:tcW w:w="3600" w:type="dxa"/>
            <w:tcMar>
              <w:top w:w="70" w:type="dxa"/>
              <w:left w:w="100" w:type="dxa"/>
              <w:bottom w:w="70" w:type="dxa"/>
              <w:right w:w="100" w:type="dxa"/>
            </w:tcMar>
          </w:tcPr>
          <w:p w14:paraId="41AA64C1" w14:textId="77777777" w:rsidR="006C3883" w:rsidRDefault="00000000" w:rsidP="00223FF5">
            <w:pPr>
              <w:spacing w:line="276" w:lineRule="auto"/>
              <w:jc w:val="both"/>
            </w:pPr>
            <w:r>
              <w:rPr>
                <w:color w:val="000000"/>
                <w:sz w:val="19"/>
                <w:szCs w:val="19"/>
              </w:rPr>
              <w:t xml:space="preserve">Results rest on a private </w:t>
            </w:r>
            <w:proofErr w:type="spellStart"/>
            <w:r>
              <w:rPr>
                <w:color w:val="000000"/>
                <w:sz w:val="19"/>
                <w:szCs w:val="19"/>
              </w:rPr>
              <w:t>backtest</w:t>
            </w:r>
            <w:proofErr w:type="spellEnd"/>
            <w:r>
              <w:rPr>
                <w:color w:val="000000"/>
                <w:sz w:val="19"/>
                <w:szCs w:val="19"/>
              </w:rPr>
              <w:t xml:space="preserve"> that no reader can verify</w:t>
            </w:r>
          </w:p>
        </w:tc>
        <w:tc>
          <w:tcPr>
            <w:tcW w:w="4700" w:type="dxa"/>
            <w:tcMar>
              <w:top w:w="70" w:type="dxa"/>
              <w:left w:w="100" w:type="dxa"/>
              <w:bottom w:w="70" w:type="dxa"/>
              <w:right w:w="100" w:type="dxa"/>
            </w:tcMar>
          </w:tcPr>
          <w:p w14:paraId="40E82557" w14:textId="77777777" w:rsidR="006C3883" w:rsidRDefault="00000000" w:rsidP="00223FF5">
            <w:pPr>
              <w:spacing w:line="276" w:lineRule="auto"/>
              <w:jc w:val="both"/>
            </w:pPr>
            <w:r>
              <w:rPr>
                <w:color w:val="000000"/>
                <w:sz w:val="19"/>
                <w:szCs w:val="19"/>
              </w:rPr>
              <w:t xml:space="preserve">Every prediction is hashed and committed </w:t>
            </w:r>
            <w:proofErr w:type="gramStart"/>
            <w:r>
              <w:rPr>
                <w:color w:val="000000"/>
                <w:sz w:val="19"/>
                <w:szCs w:val="19"/>
              </w:rPr>
              <w:t>on-chain</w:t>
            </w:r>
            <w:proofErr w:type="gramEnd"/>
            <w:r>
              <w:rPr>
                <w:color w:val="000000"/>
                <w:sz w:val="19"/>
                <w:szCs w:val="19"/>
              </w:rPr>
              <w:t xml:space="preserve"> before the outcome is known, making the track record independently auditable</w:t>
            </w:r>
          </w:p>
        </w:tc>
      </w:tr>
    </w:tbl>
    <w:p w14:paraId="4214F0D5" w14:textId="77777777" w:rsidR="006C3883" w:rsidRDefault="00000000" w:rsidP="00223FF5">
      <w:pPr>
        <w:spacing w:after="140" w:line="276" w:lineRule="auto"/>
        <w:ind w:firstLine="720"/>
        <w:jc w:val="both"/>
      </w:pPr>
      <w:r>
        <w:t xml:space="preserve">G5 is our strongest and most original claim. Every predictive paper in this field, the base paper included, asks the reader to trust a </w:t>
      </w:r>
      <w:proofErr w:type="spellStart"/>
      <w:r>
        <w:t>backtest</w:t>
      </w:r>
      <w:proofErr w:type="spellEnd"/>
      <w:r>
        <w:t xml:space="preserve"> that could in principle have been tuned </w:t>
      </w:r>
      <w:r>
        <w:lastRenderedPageBreak/>
        <w:t xml:space="preserve">after the fact, and nothing in the published record distinguishes genuine foresight from hindsight fitting. A cryptographic commitment </w:t>
      </w:r>
      <w:proofErr w:type="gramStart"/>
      <w:r>
        <w:t>on</w:t>
      </w:r>
      <w:proofErr w:type="gramEnd"/>
      <w:r>
        <w:t xml:space="preserve"> a public ledger is the only mechanism that resolves this, and it constitutes a methodological contribution that better models alone cannot supply.</w:t>
      </w:r>
    </w:p>
    <w:p w14:paraId="3867FC30" w14:textId="77777777" w:rsidR="006C3883" w:rsidRDefault="00000000" w:rsidP="00223FF5">
      <w:pPr>
        <w:spacing w:after="140" w:line="276" w:lineRule="auto"/>
        <w:ind w:firstLine="720"/>
        <w:jc w:val="both"/>
      </w:pPr>
      <w:r>
        <w:t>G4 is our strongest research question. Whether the drivers of crash risk remain the same across different crises, or whether every crisis carries its own signature, is genuinely unanswered, and it yields a publishable result in either direction.</w:t>
      </w:r>
    </w:p>
    <w:p w14:paraId="7BDAE5AC" w14:textId="277672F7" w:rsidR="006C3883" w:rsidRDefault="00000000" w:rsidP="00223FF5">
      <w:pPr>
        <w:spacing w:line="276" w:lineRule="auto"/>
        <w:jc w:val="both"/>
      </w:pPr>
      <w:r>
        <w:rPr>
          <w:b/>
          <w:bCs/>
          <w:color w:val="000000"/>
          <w:sz w:val="32"/>
          <w:szCs w:val="32"/>
        </w:rPr>
        <w:t>12</w:t>
      </w:r>
      <w:proofErr w:type="gramStart"/>
      <w:r>
        <w:rPr>
          <w:b/>
          <w:bCs/>
          <w:color w:val="000000"/>
          <w:sz w:val="32"/>
          <w:szCs w:val="32"/>
        </w:rPr>
        <w:t>.  Answers</w:t>
      </w:r>
      <w:proofErr w:type="gramEnd"/>
      <w:r>
        <w:rPr>
          <w:b/>
          <w:bCs/>
          <w:color w:val="000000"/>
          <w:sz w:val="32"/>
          <w:szCs w:val="32"/>
        </w:rPr>
        <w:t xml:space="preserve"> to Have </w:t>
      </w:r>
      <w:proofErr w:type="spellStart"/>
      <w:r>
        <w:rPr>
          <w:b/>
          <w:bCs/>
          <w:color w:val="000000"/>
          <w:sz w:val="32"/>
          <w:szCs w:val="32"/>
        </w:rPr>
        <w:t>Memorised</w:t>
      </w:r>
      <w:proofErr w:type="spellEnd"/>
    </w:p>
    <w:p w14:paraId="17A9E88E" w14:textId="77777777" w:rsidR="006C3883" w:rsidRDefault="00000000" w:rsidP="00223FF5">
      <w:pPr>
        <w:pStyle w:val="Heading3"/>
        <w:spacing w:before="240" w:after="140" w:line="276" w:lineRule="auto"/>
        <w:jc w:val="both"/>
      </w:pPr>
      <w:r>
        <w:rPr>
          <w:b/>
          <w:bCs/>
          <w:color w:val="000000"/>
        </w:rPr>
        <w:t>What is your base paper?</w:t>
      </w:r>
    </w:p>
    <w:p w14:paraId="6C4B46CE" w14:textId="45EC0B23" w:rsidR="006C3883" w:rsidRDefault="00000000" w:rsidP="00223FF5">
      <w:pPr>
        <w:spacing w:after="140" w:line="276" w:lineRule="auto"/>
        <w:jc w:val="both"/>
      </w:pPr>
      <w:r>
        <w:t>Ke et al., 2025, “Early warning of cryptocurrency reversal risks via multi-source data,” Finance Research Letters. An empirical research article in a peer-reviewed Elsevier journal</w:t>
      </w:r>
      <w:r w:rsidR="00223FF5">
        <w:t xml:space="preserve">, </w:t>
      </w:r>
      <w:r>
        <w:t>not a review and not a survey.</w:t>
      </w:r>
    </w:p>
    <w:p w14:paraId="1EE84805" w14:textId="77777777" w:rsidR="006C3883" w:rsidRDefault="00000000" w:rsidP="00223FF5">
      <w:pPr>
        <w:pStyle w:val="Heading3"/>
        <w:spacing w:before="240" w:after="140" w:line="276" w:lineRule="auto"/>
        <w:jc w:val="both"/>
      </w:pPr>
      <w:r>
        <w:rPr>
          <w:b/>
          <w:bCs/>
          <w:color w:val="000000"/>
        </w:rPr>
        <w:t>What model and what accuracy?</w:t>
      </w:r>
    </w:p>
    <w:p w14:paraId="501FB2F8" w14:textId="77777777" w:rsidR="006C3883" w:rsidRDefault="00000000" w:rsidP="00223FF5">
      <w:pPr>
        <w:spacing w:after="140" w:line="276" w:lineRule="auto"/>
        <w:jc w:val="both"/>
      </w:pPr>
      <w:r>
        <w:t>An LSTM, compared against Logistic Regression, SVM and Random Forest. It reports an F1 of 0.703, with rolling-window F1 between 0.64 and 0.72. SHAP analysis showed blockchain features contributing over a third of the predictive power.</w:t>
      </w:r>
    </w:p>
    <w:p w14:paraId="6B21B50C" w14:textId="77777777" w:rsidR="006C3883" w:rsidRDefault="00000000" w:rsidP="00223FF5">
      <w:pPr>
        <w:pStyle w:val="Heading3"/>
        <w:spacing w:before="240" w:after="140" w:line="276" w:lineRule="auto"/>
        <w:jc w:val="both"/>
      </w:pPr>
      <w:r>
        <w:rPr>
          <w:b/>
          <w:bCs/>
          <w:color w:val="000000"/>
        </w:rPr>
        <w:t>Which market?</w:t>
      </w:r>
    </w:p>
    <w:p w14:paraId="072B8F37" w14:textId="089E5165" w:rsidR="006C3883" w:rsidRDefault="00223FF5" w:rsidP="00223FF5">
      <w:pPr>
        <w:spacing w:after="140" w:line="276" w:lineRule="auto"/>
        <w:jc w:val="both"/>
      </w:pPr>
      <w:proofErr w:type="spellStart"/>
      <w:r w:rsidRPr="00223FF5">
        <w:t>Hyperliquid</w:t>
      </w:r>
      <w:proofErr w:type="spellEnd"/>
      <w:r w:rsidRPr="00223FF5">
        <w:t xml:space="preserve">, </w:t>
      </w:r>
      <w:proofErr w:type="spellStart"/>
      <w:r w:rsidRPr="00223FF5">
        <w:t>Chainlink</w:t>
      </w:r>
      <w:proofErr w:type="spellEnd"/>
      <w:r w:rsidRPr="00223FF5">
        <w:t>, Dai, Uniswap,</w:t>
      </w:r>
      <w:r>
        <w:t xml:space="preserve"> </w:t>
      </w:r>
      <w:r w:rsidRPr="00223FF5">
        <w:t>Aster</w:t>
      </w:r>
      <w:r w:rsidR="00000000">
        <w:t>,</w:t>
      </w:r>
      <w:r>
        <w:t xml:space="preserve"> Bitcoin, </w:t>
      </w:r>
      <w:r w:rsidRPr="00223FF5">
        <w:t>Ethereum, Tether, BNB, and XRP</w:t>
      </w:r>
      <w:r w:rsidR="00000000">
        <w:t xml:space="preserve"> as </w:t>
      </w:r>
      <w:proofErr w:type="gramStart"/>
      <w:r w:rsidR="00000000">
        <w:t>a single asset</w:t>
      </w:r>
      <w:proofErr w:type="gramEnd"/>
      <w:r w:rsidR="00000000">
        <w:t>, predicting pin-bar reversal events.</w:t>
      </w:r>
    </w:p>
    <w:p w14:paraId="2D21DC37" w14:textId="77777777" w:rsidR="006C3883" w:rsidRDefault="00000000" w:rsidP="00223FF5">
      <w:pPr>
        <w:pStyle w:val="Heading3"/>
        <w:spacing w:before="240" w:after="140" w:line="276" w:lineRule="auto"/>
        <w:jc w:val="both"/>
      </w:pPr>
      <w:r>
        <w:rPr>
          <w:b/>
          <w:bCs/>
          <w:color w:val="000000"/>
        </w:rPr>
        <w:t xml:space="preserve">How is </w:t>
      </w:r>
      <w:proofErr w:type="gramStart"/>
      <w:r>
        <w:rPr>
          <w:b/>
          <w:bCs/>
          <w:color w:val="000000"/>
        </w:rPr>
        <w:t>yours</w:t>
      </w:r>
      <w:proofErr w:type="gramEnd"/>
      <w:r>
        <w:rPr>
          <w:b/>
          <w:bCs/>
          <w:color w:val="000000"/>
        </w:rPr>
        <w:t xml:space="preserve"> </w:t>
      </w:r>
      <w:proofErr w:type="gramStart"/>
      <w:r>
        <w:rPr>
          <w:b/>
          <w:bCs/>
          <w:color w:val="000000"/>
        </w:rPr>
        <w:t>different</w:t>
      </w:r>
      <w:proofErr w:type="gramEnd"/>
      <w:r>
        <w:rPr>
          <w:b/>
          <w:bCs/>
          <w:color w:val="000000"/>
        </w:rPr>
        <w:t>?</w:t>
      </w:r>
    </w:p>
    <w:p w14:paraId="0709FC68" w14:textId="00426E0E" w:rsidR="006C3883" w:rsidRDefault="00000000" w:rsidP="00223FF5">
      <w:pPr>
        <w:spacing w:after="140" w:line="276" w:lineRule="auto"/>
        <w:jc w:val="both"/>
      </w:pPr>
      <w:r>
        <w:t>A different target</w:t>
      </w:r>
      <w:r w:rsidR="00223FF5">
        <w:t xml:space="preserve">, </w:t>
      </w:r>
      <w:r>
        <w:t xml:space="preserve">a severe drawdown rather than a chart pattern. Multi-asset coverage with contagion features. A stronger comparison set including </w:t>
      </w:r>
      <w:proofErr w:type="spellStart"/>
      <w:r>
        <w:t>XGBoost</w:t>
      </w:r>
      <w:proofErr w:type="spellEnd"/>
      <w:r>
        <w:t xml:space="preserve"> and GRU, both of which they omitted. Explanations tested for stability across crises, which nobody has done. And every prediction committed </w:t>
      </w:r>
      <w:proofErr w:type="gramStart"/>
      <w:r>
        <w:t>on-chain</w:t>
      </w:r>
      <w:proofErr w:type="gramEnd"/>
      <w:r>
        <w:t xml:space="preserve"> before the outcome, so our record is auditable rather than merely claimed.</w:t>
      </w:r>
    </w:p>
    <w:p w14:paraId="2524CDC4" w14:textId="77777777" w:rsidR="006C3883" w:rsidRDefault="00000000" w:rsidP="00223FF5">
      <w:pPr>
        <w:pStyle w:val="Heading3"/>
        <w:spacing w:before="240" w:after="140" w:line="276" w:lineRule="auto"/>
        <w:jc w:val="both"/>
      </w:pPr>
      <w:r>
        <w:rPr>
          <w:b/>
          <w:bCs/>
          <w:color w:val="000000"/>
        </w:rPr>
        <w:t>Why is your dataset trustworthy?</w:t>
      </w:r>
    </w:p>
    <w:p w14:paraId="0FF6A396" w14:textId="77777777" w:rsidR="006C3883" w:rsidRDefault="00000000" w:rsidP="00223FF5">
      <w:pPr>
        <w:spacing w:after="140" w:line="276" w:lineRule="auto"/>
        <w:jc w:val="both"/>
      </w:pPr>
      <w:r>
        <w:t>Every raw observation comes from a public API or directly from the public blockchain. Nothing is private, nothing is purchased, and nothing is fabricated. The whole dataset regenerates from our scripts, so anyone can rebuild it and verify it.</w:t>
      </w:r>
    </w:p>
    <w:p w14:paraId="03EE5AA2" w14:textId="77777777" w:rsidR="006C3883" w:rsidRDefault="00000000" w:rsidP="00223FF5">
      <w:pPr>
        <w:pStyle w:val="Heading3"/>
        <w:spacing w:before="240" w:after="140" w:line="276" w:lineRule="auto"/>
        <w:jc w:val="both"/>
      </w:pPr>
      <w:r>
        <w:rPr>
          <w:b/>
          <w:bCs/>
          <w:color w:val="000000"/>
        </w:rPr>
        <w:t xml:space="preserve">Why LSTM and </w:t>
      </w:r>
      <w:proofErr w:type="spellStart"/>
      <w:r>
        <w:rPr>
          <w:b/>
          <w:bCs/>
          <w:color w:val="000000"/>
        </w:rPr>
        <w:t>XGBoost</w:t>
      </w:r>
      <w:proofErr w:type="spellEnd"/>
      <w:r>
        <w:rPr>
          <w:b/>
          <w:bCs/>
          <w:color w:val="000000"/>
        </w:rPr>
        <w:t>?</w:t>
      </w:r>
    </w:p>
    <w:p w14:paraId="6A17A19C" w14:textId="77777777" w:rsidR="006C3883" w:rsidRDefault="00000000" w:rsidP="00223FF5">
      <w:pPr>
        <w:spacing w:after="140" w:line="276" w:lineRule="auto"/>
        <w:jc w:val="both"/>
      </w:pPr>
      <w:r>
        <w:t xml:space="preserve">The LSTM reads the multi-day build-up pattern; </w:t>
      </w:r>
      <w:proofErr w:type="spellStart"/>
      <w:r>
        <w:t>XGBoost</w:t>
      </w:r>
      <w:proofErr w:type="spellEnd"/>
      <w:r>
        <w:t xml:space="preserve"> handles the engineered tabular features and pairs well with SHAP. The base paper omitted gradient </w:t>
      </w:r>
      <w:proofErr w:type="gramStart"/>
      <w:r>
        <w:t>boosting, and</w:t>
      </w:r>
      <w:proofErr w:type="gramEnd"/>
      <w:r>
        <w:t xml:space="preserve"> adding it makes our comparison harder to win rather than easier.</w:t>
      </w:r>
    </w:p>
    <w:p w14:paraId="7BCCCF25" w14:textId="0625482C" w:rsidR="006C3883" w:rsidRDefault="006C3883" w:rsidP="00223FF5">
      <w:pPr>
        <w:spacing w:after="140" w:line="276" w:lineRule="auto"/>
        <w:ind w:firstLine="720"/>
        <w:jc w:val="both"/>
      </w:pPr>
    </w:p>
    <w:sectPr w:rsidR="006C388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C958" w14:textId="77777777" w:rsidR="004F03D1" w:rsidRDefault="004F03D1">
      <w:r>
        <w:separator/>
      </w:r>
    </w:p>
  </w:endnote>
  <w:endnote w:type="continuationSeparator" w:id="0">
    <w:p w14:paraId="6260D0EF" w14:textId="77777777" w:rsidR="004F03D1" w:rsidRDefault="004F0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20BA" w14:textId="77777777" w:rsidR="006C3883" w:rsidRDefault="00000000">
    <w:pPr>
      <w:jc w:val="center"/>
    </w:pPr>
    <w:r>
      <w:rPr>
        <w:sz w:val="22"/>
        <w:szCs w:val="22"/>
      </w:rPr>
      <w:fldChar w:fldCharType="begin"/>
    </w:r>
    <w:r>
      <w:rPr>
        <w:sz w:val="22"/>
        <w:szCs w:val="22"/>
      </w:rPr>
      <w:instrText>PAGE</w:instrText>
    </w:r>
    <w:r>
      <w:rPr>
        <w:sz w:val="22"/>
        <w:szCs w:val="22"/>
      </w:rPr>
      <w:fldChar w:fldCharType="separate"/>
    </w:r>
    <w:r w:rsidR="00223FF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3A36" w14:textId="77777777" w:rsidR="004F03D1" w:rsidRDefault="004F03D1">
      <w:r>
        <w:separator/>
      </w:r>
    </w:p>
  </w:footnote>
  <w:footnote w:type="continuationSeparator" w:id="0">
    <w:p w14:paraId="26F73712" w14:textId="77777777" w:rsidR="004F03D1" w:rsidRDefault="004F0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57FDB"/>
    <w:multiLevelType w:val="hybridMultilevel"/>
    <w:tmpl w:val="AA3A0616"/>
    <w:lvl w:ilvl="0" w:tplc="EAA08188">
      <w:start w:val="1"/>
      <w:numFmt w:val="bullet"/>
      <w:lvlText w:val="●"/>
      <w:lvlJc w:val="left"/>
      <w:pPr>
        <w:ind w:left="720" w:hanging="360"/>
      </w:pPr>
    </w:lvl>
    <w:lvl w:ilvl="1" w:tplc="D7FEDEE6">
      <w:start w:val="1"/>
      <w:numFmt w:val="bullet"/>
      <w:lvlText w:val="○"/>
      <w:lvlJc w:val="left"/>
      <w:pPr>
        <w:ind w:left="1440" w:hanging="360"/>
      </w:pPr>
    </w:lvl>
    <w:lvl w:ilvl="2" w:tplc="9DAA0618">
      <w:start w:val="1"/>
      <w:numFmt w:val="bullet"/>
      <w:lvlText w:val="■"/>
      <w:lvlJc w:val="left"/>
      <w:pPr>
        <w:ind w:left="2160" w:hanging="360"/>
      </w:pPr>
    </w:lvl>
    <w:lvl w:ilvl="3" w:tplc="4B3A58C0">
      <w:start w:val="1"/>
      <w:numFmt w:val="bullet"/>
      <w:lvlText w:val="●"/>
      <w:lvlJc w:val="left"/>
      <w:pPr>
        <w:ind w:left="2880" w:hanging="360"/>
      </w:pPr>
    </w:lvl>
    <w:lvl w:ilvl="4" w:tplc="416AE4B8">
      <w:start w:val="1"/>
      <w:numFmt w:val="bullet"/>
      <w:lvlText w:val="○"/>
      <w:lvlJc w:val="left"/>
      <w:pPr>
        <w:ind w:left="3600" w:hanging="360"/>
      </w:pPr>
    </w:lvl>
    <w:lvl w:ilvl="5" w:tplc="2C865A70">
      <w:start w:val="1"/>
      <w:numFmt w:val="bullet"/>
      <w:lvlText w:val="■"/>
      <w:lvlJc w:val="left"/>
      <w:pPr>
        <w:ind w:left="4320" w:hanging="360"/>
      </w:pPr>
    </w:lvl>
    <w:lvl w:ilvl="6" w:tplc="DD34AA9C">
      <w:start w:val="1"/>
      <w:numFmt w:val="bullet"/>
      <w:lvlText w:val="●"/>
      <w:lvlJc w:val="left"/>
      <w:pPr>
        <w:ind w:left="5040" w:hanging="360"/>
      </w:pPr>
    </w:lvl>
    <w:lvl w:ilvl="7" w:tplc="A7DC4842">
      <w:start w:val="1"/>
      <w:numFmt w:val="bullet"/>
      <w:lvlText w:val="●"/>
      <w:lvlJc w:val="left"/>
      <w:pPr>
        <w:ind w:left="5760" w:hanging="360"/>
      </w:pPr>
    </w:lvl>
    <w:lvl w:ilvl="8" w:tplc="5DB2CA14">
      <w:start w:val="1"/>
      <w:numFmt w:val="bullet"/>
      <w:lvlText w:val="●"/>
      <w:lvlJc w:val="left"/>
      <w:pPr>
        <w:ind w:left="6480" w:hanging="360"/>
      </w:pPr>
    </w:lvl>
  </w:abstractNum>
  <w:num w:numId="1" w16cid:durableId="1153909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83"/>
    <w:rsid w:val="00223FF5"/>
    <w:rsid w:val="004F03D1"/>
    <w:rsid w:val="006C3883"/>
    <w:rsid w:val="00CE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56A0"/>
  <w15:docId w15:val="{2BEF30A0-1F27-424D-AEFA-E2D5305C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23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2595</Words>
  <Characters>14794</Characters>
  <Application>Microsoft Office Word</Application>
  <DocSecurity>0</DocSecurity>
  <Lines>123</Lines>
  <Paragraphs>34</Paragraphs>
  <ScaleCrop>false</ScaleCrop>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 M</cp:lastModifiedBy>
  <cp:revision>2</cp:revision>
  <dcterms:created xsi:type="dcterms:W3CDTF">2026-09-10T18:20:00Z</dcterms:created>
  <dcterms:modified xsi:type="dcterms:W3CDTF">2026-09-10T18:36:00Z</dcterms:modified>
</cp:coreProperties>
</file>