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KEDUTAAN BESAR REPUBLIK INDONESIA</w:t>
            </w:r>
          </w:p>
        </w:tc>
      </w:tr>
      <w:tr>
        <w:tc>
          <w:tcPr>
            <w:tcW w:type="dxa" w:w="8640"/>
          </w:tcPr>
          <w:p>
            <w:r>
              <w:t>WINA-AUSTRIA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Nomor</w:t>
            </w:r>
            <w:r>
              <w:t xml:space="preserve"> : 1025 /DM/XII/2015/Sosbud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Perihal</w:t>
            </w:r>
            <w:r>
              <w:t xml:space="preserve"> : Undangan Temu Masyarakat</w:t>
            </w:r>
            <w:r>
              <w:br/>
            </w:r>
            <w:r>
              <w:t>Bersama Menteri ESDM RI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Kepada Yth.</w:t>
            </w:r>
            <w:r>
              <w:br/>
            </w:r>
            <w:r>
              <w:t>Bapak/Ibu/Saudara/Saudari</w:t>
            </w:r>
            <w:r>
              <w:br/>
            </w:r>
            <w:r>
              <w:t>Masyarakat Indonesia di Wina</w:t>
            </w:r>
          </w:p>
        </w:tc>
      </w:tr>
      <w:tr>
        <w:tc>
          <w:tcPr>
            <w:tcW w:type="dxa" w:w="8640"/>
          </w:tcPr>
          <w:p>
            <w:r>
              <w:t>Dalam rangka kunjungan kerja Menteri Energi dan Sumber Daya Mineral Republik</w:t>
            </w:r>
            <w:r>
              <w:br/>
            </w:r>
            <w:r>
              <w:t>Indonesia, Bapak Sudirman Said ke Wina, Austria, bersama ini Kedutaan Besar/Perutusan</w:t>
            </w:r>
            <w:r>
              <w:br/>
            </w:r>
            <w:r>
              <w:t>Tetap Republik Indonesia di Wina mengundang Bapak/Ibu/Saudara/Saudari untuk</w:t>
            </w:r>
            <w:r>
              <w:br/>
            </w:r>
            <w:r>
              <w:t>menghadiri acara temu masyarakat Indonesia yang akan diselenggarakan pada: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Hari, Tanggal</w:t>
            </w:r>
            <w:r>
              <w:t xml:space="preserve"> : Kamis, 03 Desember 2015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Waktu</w:t>
            </w:r>
            <w:r>
              <w:t xml:space="preserve"> : Pukul 18.30 – 21.00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Tempat</w:t>
            </w:r>
            <w:r>
              <w:t xml:space="preserve"> : Ruang Nusantara</w:t>
            </w:r>
            <w:r>
              <w:br/>
            </w:r>
            <w:r>
              <w:t>Kedutaan Besar Republik Indonesia</w:t>
            </w:r>
            <w:r>
              <w:br/>
            </w:r>
            <w:r>
              <w:t>Gustav Tschermarkgasse 5 – 7, Wien A-1180</w:t>
            </w:r>
          </w:p>
        </w:tc>
      </w:tr>
      <w:tr>
        <w:tc>
          <w:tcPr>
            <w:tcW w:type="dxa" w:w="8640"/>
          </w:tcPr>
          <w:p>
            <w:pPr>
              <w:ind w:firstLine="720"/>
            </w:pPr>
            <w:r>
              <w:t>Demikian, atas perhatian dan kehadiran Bapak/Ibu/Saudara/Saudari, kami</w:t>
            </w:r>
            <w:r>
              <w:br/>
            </w:r>
            <w:r>
              <w:t>sampaikan terima kasih.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br/>
            </w:r>
            <w:r>
              <w:t>Wina, 02 Desember 2015</w:t>
            </w:r>
            <w:r>
              <w:br/>
            </w:r>
            <w:r>
              <w:t>A.9 Kepala Perwakilan RI</w:t>
            </w:r>
            <w:r>
              <w:br/>
            </w:r>
            <w:r/>
            <w:r>
              <w:br/>
            </w:r>
            <w:r>
              <w:t>Dody S. KusumonegoroMinister CounsellorKoordinator Fungsi Penerangan, Sosial dan Budaya</w:t>
            </w:r>
            <w:r>
              <w:br/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Tembusan:</w:t>
            </w:r>
          </w:p>
        </w:tc>
      </w:tr>
      <w:tr>
        <w:tc>
          <w:tcPr>
            <w:tcW w:type="dxa" w:w="8640"/>
          </w:tcPr>
          <w:p>
            <w:r>
              <w:t>1. Yth. Duta Besar RI (sebagai laporan)</w:t>
            </w:r>
          </w:p>
        </w:tc>
      </w:tr>
      <w:tr>
        <w:tc>
          <w:tcPr>
            <w:tcW w:type="dxa" w:w="8640"/>
          </w:tcPr>
          <w:p>
            <w:r>
              <w:t>2. Yth. Wakeppri/HOC</w:t>
            </w:r>
          </w:p>
        </w:tc>
      </w:tr>
      <w:tr>
        <w:tc>
          <w:tcPr>
            <w:tcW w:type="dxa" w:w="8640"/>
          </w:tcPr>
          <w:p>
            <w:r>
              <w:t>3. Yth. BPKRT Keuangan</w:t>
            </w:r>
          </w:p>
        </w:tc>
      </w:tr>
      <w:tr>
        <w:tc>
          <w:tcPr>
            <w:tcW w:type="dxa" w:w="8640"/>
          </w:tcPr>
          <w:p>
            <w:r>
              <w:t>4. Yth. BPKRT Perlengkapan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