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Hey Jason, I just saw your post and want to give you my point of view on this topic. </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First of all, I go to a similar school like the one you mentioned in your post. It’s specialized for Information Technology. Some of your points are in my opinion partly correct. Yes it’s nothing for everyone, but there are enough people which already know what they want to do at a young age. Not every company is the same, all concerns are in specific branches. That means that every business needs employees with different specifications. This is the reason for specialized schools.</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The second thing I want to mention is that companies always search more and more for young adults which have these specifications, because they mostly have more potential and know better ways to solve tasks.</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My last point is what people can do after a specialized school. Most of them go and begin to work as fast as possible, but you could also go and study to get a better education in your branch, which leads you to a much better salary then the average human.</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I think I covered all your points now. Specialized schools are not useless, but not for everyone a good option.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t xml:space="preserve">Yunus Emre Güclü</w:t>
      <w:tab/>
      <w:tab/>
      <w:tab/>
      <w:tab/>
      <w:t xml:space="preserve">4CHIF</w:t>
      <w:tab/>
      <w:tab/>
      <w:tab/>
      <w:tab/>
      <w:tab/>
      <w:t xml:space="preserve">19.11.2021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