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B1915" w14:textId="09BDD717" w:rsidR="00217CF2" w:rsidRPr="00217CF2" w:rsidRDefault="00217CF2" w:rsidP="00217CF2">
      <w:pPr>
        <w:jc w:val="center"/>
        <w:rPr>
          <w:rFonts w:ascii="Arial" w:hAnsi="Arial" w:cs="Arial"/>
          <w:b/>
          <w:bCs/>
          <w:szCs w:val="24"/>
        </w:rPr>
      </w:pPr>
      <w:r w:rsidRPr="00217CF2">
        <w:rPr>
          <w:rFonts w:ascii="Arial" w:hAnsi="Arial" w:cs="Arial"/>
          <w:b/>
          <w:bCs/>
          <w:szCs w:val="24"/>
        </w:rPr>
        <w:t>AGENDA NO. 1</w:t>
      </w:r>
      <w:r w:rsidRPr="00217CF2">
        <w:rPr>
          <w:rFonts w:ascii="Arial" w:hAnsi="Arial" w:cs="Arial"/>
          <w:b/>
          <w:bCs/>
          <w:szCs w:val="24"/>
        </w:rPr>
        <w:tab/>
      </w:r>
    </w:p>
    <w:p w14:paraId="0F72F8F9" w14:textId="345631B2" w:rsidR="00217CF2" w:rsidRDefault="00217CF2" w:rsidP="00217CF2">
      <w:pPr>
        <w:jc w:val="both"/>
        <w:rPr>
          <w:rFonts w:ascii="Arial" w:hAnsi="Arial" w:cs="Arial"/>
          <w:b/>
          <w:bCs/>
          <w:szCs w:val="24"/>
          <w:u w:val="single"/>
        </w:rPr>
      </w:pPr>
      <w:r w:rsidRPr="00217CF2">
        <w:rPr>
          <w:rFonts w:ascii="Arial" w:hAnsi="Arial" w:cs="Arial"/>
          <w:b/>
          <w:bCs/>
          <w:szCs w:val="24"/>
          <w:u w:val="single"/>
        </w:rPr>
        <w:t xml:space="preserve">Engagement of M/s </w:t>
      </w:r>
      <w:r w:rsidRPr="00217CF2">
        <w:rPr>
          <w:rFonts w:ascii="Arial" w:hAnsi="Arial" w:cs="Arial"/>
          <w:b/>
          <w:bCs/>
          <w:szCs w:val="24"/>
          <w:u w:val="single"/>
        </w:rPr>
        <w:t xml:space="preserve">Cyril Amarchand Mangaldas </w:t>
      </w:r>
      <w:r w:rsidRPr="00217CF2">
        <w:rPr>
          <w:rFonts w:ascii="Arial" w:hAnsi="Arial" w:cs="Arial"/>
          <w:b/>
          <w:bCs/>
          <w:szCs w:val="24"/>
          <w:u w:val="single"/>
        </w:rPr>
        <w:t xml:space="preserve">Advocates &amp; Solicitors </w:t>
      </w:r>
      <w:r w:rsidRPr="00217CF2">
        <w:rPr>
          <w:rFonts w:ascii="Arial" w:hAnsi="Arial" w:cs="Arial"/>
          <w:b/>
          <w:bCs/>
          <w:szCs w:val="24"/>
          <w:u w:val="single"/>
        </w:rPr>
        <w:t>(CAM)</w:t>
      </w:r>
      <w:r w:rsidRPr="00217CF2">
        <w:rPr>
          <w:rFonts w:ascii="Arial" w:hAnsi="Arial" w:cs="Arial"/>
          <w:b/>
          <w:bCs/>
          <w:szCs w:val="24"/>
          <w:u w:val="single"/>
        </w:rPr>
        <w:t xml:space="preserve"> for </w:t>
      </w:r>
      <w:r w:rsidRPr="00217CF2">
        <w:rPr>
          <w:rFonts w:ascii="Arial" w:hAnsi="Arial" w:cs="Arial"/>
          <w:b/>
          <w:bCs/>
          <w:szCs w:val="24"/>
          <w:u w:val="single"/>
        </w:rPr>
        <w:t>changes required in the Petroleum &amp; Natural Gas Rules, 1959 and Model Revenue Sharing Contracts</w:t>
      </w:r>
      <w:r w:rsidRPr="00217CF2">
        <w:rPr>
          <w:rFonts w:ascii="Arial" w:hAnsi="Arial" w:cs="Arial"/>
          <w:b/>
          <w:bCs/>
          <w:szCs w:val="24"/>
          <w:u w:val="single"/>
        </w:rPr>
        <w:t>.</w:t>
      </w:r>
    </w:p>
    <w:p w14:paraId="68E871ED" w14:textId="77777777" w:rsidR="00606030" w:rsidRPr="00217CF2" w:rsidRDefault="00606030" w:rsidP="00217CF2">
      <w:pPr>
        <w:jc w:val="both"/>
        <w:rPr>
          <w:rFonts w:ascii="Arial" w:hAnsi="Arial" w:cs="Arial"/>
          <w:b/>
          <w:bCs/>
          <w:szCs w:val="24"/>
          <w:u w:val="single"/>
        </w:rPr>
      </w:pPr>
    </w:p>
    <w:p w14:paraId="2C3806C5" w14:textId="25472388" w:rsidR="000F1510" w:rsidRPr="00AE5FFF" w:rsidRDefault="002E42FB" w:rsidP="00217CF2">
      <w:pPr>
        <w:pStyle w:val="ListParagraph"/>
        <w:numPr>
          <w:ilvl w:val="0"/>
          <w:numId w:val="5"/>
        </w:numPr>
        <w:jc w:val="both"/>
        <w:rPr>
          <w:rFonts w:ascii="Arial" w:hAnsi="Arial" w:cs="Arial"/>
          <w:szCs w:val="24"/>
        </w:rPr>
      </w:pPr>
      <w:r w:rsidRPr="00AE5FFF">
        <w:rPr>
          <w:rFonts w:ascii="Arial" w:hAnsi="Arial" w:cs="Arial"/>
          <w:szCs w:val="24"/>
        </w:rPr>
        <w:t xml:space="preserve">The Ministry of Petroleum &amp; Natural Gas (MoPNG) introduced a Bill in Parliament to amend the Oilfields (Regulation and Development) Act, 1948, to enhance the ease of doing business in the exploration and production (E&amp;P) sector. </w:t>
      </w:r>
      <w:r w:rsidR="00860B4A" w:rsidRPr="00AE5FFF">
        <w:rPr>
          <w:rFonts w:ascii="Arial" w:hAnsi="Arial" w:cs="Arial"/>
          <w:szCs w:val="24"/>
        </w:rPr>
        <w:t xml:space="preserve">In the said Bill various amendments were proposed and pursuant to that corresponding changes are required in the Petroleum &amp; Natural Gas Rules, 1959 and Model Revenue Sharing Contracts. For that work, </w:t>
      </w:r>
      <w:r w:rsidR="00491C92" w:rsidRPr="00AE5FFF">
        <w:rPr>
          <w:rFonts w:ascii="Arial" w:hAnsi="Arial" w:cs="Arial"/>
          <w:szCs w:val="24"/>
        </w:rPr>
        <w:t xml:space="preserve">MOPNG </w:t>
      </w:r>
      <w:r w:rsidR="00860B4A" w:rsidRPr="00AE5FFF">
        <w:rPr>
          <w:rFonts w:ascii="Arial" w:hAnsi="Arial" w:cs="Arial"/>
          <w:szCs w:val="24"/>
        </w:rPr>
        <w:t xml:space="preserve">has directed DGH to </w:t>
      </w:r>
      <w:r w:rsidR="00491C92" w:rsidRPr="00AE5FFF">
        <w:rPr>
          <w:rFonts w:ascii="Arial" w:hAnsi="Arial" w:cs="Arial"/>
          <w:szCs w:val="24"/>
        </w:rPr>
        <w:t>engage M/s Cyril Amarchand Mangaldas (CAM)</w:t>
      </w:r>
      <w:r w:rsidR="000F1510" w:rsidRPr="00AE5FFF">
        <w:rPr>
          <w:rFonts w:ascii="Arial" w:hAnsi="Arial" w:cs="Arial"/>
          <w:szCs w:val="24"/>
        </w:rPr>
        <w:t>.</w:t>
      </w:r>
      <w:r w:rsidR="00217CF2" w:rsidRPr="00AE5FFF">
        <w:rPr>
          <w:rFonts w:ascii="Arial" w:hAnsi="Arial" w:cs="Arial"/>
          <w:szCs w:val="24"/>
        </w:rPr>
        <w:t xml:space="preserve"> </w:t>
      </w:r>
    </w:p>
    <w:p w14:paraId="74305754" w14:textId="77777777" w:rsidR="00606030" w:rsidRPr="00AE5FFF" w:rsidRDefault="00606030" w:rsidP="00606030">
      <w:pPr>
        <w:pStyle w:val="ListParagraph"/>
        <w:jc w:val="both"/>
        <w:rPr>
          <w:rFonts w:ascii="Arial" w:hAnsi="Arial" w:cs="Arial"/>
          <w:szCs w:val="24"/>
        </w:rPr>
      </w:pPr>
    </w:p>
    <w:p w14:paraId="005DFB19" w14:textId="1BD82DF8" w:rsidR="00217CF2" w:rsidRPr="00AE5FFF" w:rsidRDefault="00217CF2" w:rsidP="00217CF2">
      <w:pPr>
        <w:pStyle w:val="ListParagraph"/>
        <w:numPr>
          <w:ilvl w:val="0"/>
          <w:numId w:val="5"/>
        </w:numPr>
        <w:jc w:val="both"/>
        <w:rPr>
          <w:rFonts w:ascii="Arial" w:hAnsi="Arial" w:cs="Arial"/>
          <w:szCs w:val="24"/>
        </w:rPr>
      </w:pPr>
      <w:r w:rsidRPr="00AE5FFF">
        <w:rPr>
          <w:rFonts w:ascii="Arial" w:hAnsi="Arial" w:cs="Arial"/>
          <w:szCs w:val="24"/>
        </w:rPr>
        <w:t>CAM vide email dated 03.09.2024 (copy enclosed) informed DGH about scope of work and terms of engagement. A lump sum fee of Rs. 35,00,000</w:t>
      </w:r>
      <w:r w:rsidR="00AE5FFF">
        <w:rPr>
          <w:rFonts w:ascii="Arial" w:hAnsi="Arial" w:cs="Arial"/>
          <w:szCs w:val="24"/>
        </w:rPr>
        <w:t xml:space="preserve"> </w:t>
      </w:r>
      <w:r w:rsidR="00AE5FFF" w:rsidRPr="00AE5FFF">
        <w:rPr>
          <w:rFonts w:ascii="Arial" w:hAnsi="Arial" w:cs="Arial"/>
          <w:b/>
          <w:bCs/>
          <w:szCs w:val="24"/>
        </w:rPr>
        <w:t>(Thirty-Five Lakhs Only)</w:t>
      </w:r>
      <w:r w:rsidR="00AE5FFF">
        <w:rPr>
          <w:rFonts w:ascii="Arial" w:hAnsi="Arial" w:cs="Arial"/>
          <w:szCs w:val="24"/>
        </w:rPr>
        <w:t xml:space="preserve"> </w:t>
      </w:r>
      <w:r w:rsidRPr="00AE5FFF">
        <w:rPr>
          <w:rFonts w:ascii="Arial" w:hAnsi="Arial" w:cs="Arial"/>
          <w:szCs w:val="24"/>
        </w:rPr>
        <w:t>was also proposed for the work and scope of work will be completed in 4 months of their appointment. Scope of work</w:t>
      </w:r>
      <w:r w:rsidR="00AE5FFF">
        <w:rPr>
          <w:rFonts w:ascii="Arial" w:hAnsi="Arial" w:cs="Arial"/>
          <w:szCs w:val="24"/>
        </w:rPr>
        <w:t>, terms of engagement,</w:t>
      </w:r>
      <w:r w:rsidRPr="00AE5FFF">
        <w:rPr>
          <w:rFonts w:ascii="Arial" w:hAnsi="Arial" w:cs="Arial"/>
          <w:szCs w:val="24"/>
        </w:rPr>
        <w:t xml:space="preserve"> as proposed in the mail is, as under:</w:t>
      </w:r>
    </w:p>
    <w:p w14:paraId="3E15BE12" w14:textId="77777777" w:rsidR="00AE5FFF" w:rsidRDefault="00AE5FFF" w:rsidP="00217CF2">
      <w:pPr>
        <w:pStyle w:val="ListParagraph"/>
        <w:jc w:val="both"/>
        <w:rPr>
          <w:rFonts w:ascii="Arial" w:hAnsi="Arial" w:cs="Arial"/>
          <w:szCs w:val="24"/>
        </w:rPr>
      </w:pPr>
    </w:p>
    <w:p w14:paraId="59FF75E1" w14:textId="77777777" w:rsidR="00AE5FFF" w:rsidRDefault="00217CF2" w:rsidP="00AE5FFF">
      <w:pPr>
        <w:pStyle w:val="ListParagraph"/>
        <w:ind w:left="1560"/>
        <w:jc w:val="both"/>
        <w:rPr>
          <w:rFonts w:ascii="Arial" w:hAnsi="Arial" w:cs="Arial"/>
          <w:i/>
          <w:iCs/>
          <w:szCs w:val="24"/>
        </w:rPr>
      </w:pPr>
      <w:r w:rsidRPr="00AE5FFF">
        <w:rPr>
          <w:rFonts w:ascii="Arial" w:hAnsi="Arial" w:cs="Arial"/>
          <w:szCs w:val="24"/>
        </w:rPr>
        <w:t>”</w:t>
      </w:r>
      <w:r w:rsidR="00AE5FFF">
        <w:rPr>
          <w:rFonts w:ascii="Arial" w:hAnsi="Arial" w:cs="Arial"/>
          <w:szCs w:val="24"/>
        </w:rPr>
        <w:t>1.</w:t>
      </w:r>
      <w:r w:rsidR="00AE5FFF">
        <w:rPr>
          <w:rFonts w:ascii="Arial" w:hAnsi="Arial" w:cs="Arial"/>
          <w:szCs w:val="24"/>
        </w:rPr>
        <w:tab/>
      </w:r>
      <w:r w:rsidRPr="00AE5FFF">
        <w:rPr>
          <w:rFonts w:ascii="Arial" w:hAnsi="Arial" w:cs="Arial"/>
          <w:i/>
          <w:iCs/>
          <w:szCs w:val="24"/>
        </w:rPr>
        <w:t>Drafting of the amendments to the Petroleum &amp; Natural Gas Rules, 1959 (“PNG Rules”) and the model revenue sharing contract (“MRSC”), to carry out the changes required pursuant to the Oilfields Regulation and Development (Amendment) Bill, 2024 (“Bill”) (which seeks to amend certain provisions of the Oilfields (Regulation &amp; Development) Act, 1948).</w:t>
      </w:r>
    </w:p>
    <w:p w14:paraId="71B5B2E0" w14:textId="77777777" w:rsidR="00AE5FFF" w:rsidRDefault="00AE5FFF" w:rsidP="00AE5FFF">
      <w:pPr>
        <w:pStyle w:val="ListParagraph"/>
        <w:ind w:left="1560"/>
        <w:jc w:val="both"/>
        <w:rPr>
          <w:rFonts w:ascii="Arial" w:hAnsi="Arial" w:cs="Arial"/>
          <w:i/>
          <w:iCs/>
          <w:szCs w:val="24"/>
        </w:rPr>
      </w:pPr>
    </w:p>
    <w:p w14:paraId="1ABA53CC" w14:textId="77F99B96" w:rsidR="00217CF2" w:rsidRPr="00AE5FFF" w:rsidRDefault="00AE5FFF" w:rsidP="00AE5FFF">
      <w:pPr>
        <w:pStyle w:val="ListParagraph"/>
        <w:ind w:left="1560"/>
        <w:jc w:val="both"/>
        <w:rPr>
          <w:rFonts w:ascii="Arial" w:hAnsi="Arial" w:cs="Arial"/>
          <w:i/>
          <w:iCs/>
          <w:szCs w:val="24"/>
        </w:rPr>
      </w:pPr>
      <w:r>
        <w:rPr>
          <w:rFonts w:ascii="Arial" w:hAnsi="Arial" w:cs="Arial"/>
          <w:i/>
          <w:iCs/>
          <w:szCs w:val="24"/>
        </w:rPr>
        <w:t>2.</w:t>
      </w:r>
      <w:r>
        <w:rPr>
          <w:rFonts w:ascii="Arial" w:hAnsi="Arial" w:cs="Arial"/>
          <w:i/>
          <w:iCs/>
          <w:szCs w:val="24"/>
        </w:rPr>
        <w:tab/>
      </w:r>
      <w:r w:rsidR="00217CF2" w:rsidRPr="00AE5FFF">
        <w:rPr>
          <w:rFonts w:ascii="Arial" w:hAnsi="Arial" w:cs="Arial"/>
          <w:i/>
          <w:iCs/>
          <w:szCs w:val="24"/>
        </w:rPr>
        <w:t>Carrying out any other amendments required in the PNG Rules and the MRSC for betterment of the sector, in consultation with Directorate General of Hydrocarbons and Ministry of Petroleum and Natural Gas, which will include identification of other issues, and general advisory on whether the issues can be addressed by amending the PNG Rules or MRSC or otherwise.</w:t>
      </w:r>
      <w:r w:rsidR="00217CF2" w:rsidRPr="00AE5FFF">
        <w:rPr>
          <w:rFonts w:ascii="Arial" w:hAnsi="Arial" w:cs="Arial"/>
          <w:szCs w:val="24"/>
        </w:rPr>
        <w:t xml:space="preserve"> </w:t>
      </w:r>
      <w:r w:rsidR="00217CF2" w:rsidRPr="00AE5FFF">
        <w:rPr>
          <w:rFonts w:ascii="Arial" w:hAnsi="Arial" w:cs="Arial"/>
          <w:szCs w:val="24"/>
        </w:rPr>
        <w:t>“</w:t>
      </w:r>
    </w:p>
    <w:p w14:paraId="6B5018BA" w14:textId="45146399" w:rsidR="00AE5FFF" w:rsidRDefault="00AE5FFF" w:rsidP="00AE5FFF">
      <w:pPr>
        <w:jc w:val="both"/>
        <w:rPr>
          <w:rFonts w:ascii="Arial" w:hAnsi="Arial" w:cs="Arial"/>
          <w:szCs w:val="24"/>
        </w:rPr>
      </w:pPr>
      <w:r>
        <w:rPr>
          <w:rFonts w:ascii="Arial" w:hAnsi="Arial" w:cs="Arial"/>
          <w:szCs w:val="24"/>
        </w:rPr>
        <w:t xml:space="preserve">             Terms of engagement: </w:t>
      </w:r>
    </w:p>
    <w:p w14:paraId="5E680EF4" w14:textId="7A37E98C" w:rsidR="00AE5FFF" w:rsidRPr="00AE5FFF" w:rsidRDefault="00AE5FFF" w:rsidP="00AE5FFF">
      <w:pPr>
        <w:ind w:left="1560"/>
        <w:jc w:val="both"/>
        <w:rPr>
          <w:rFonts w:ascii="Arial" w:hAnsi="Arial" w:cs="Arial"/>
          <w:i/>
          <w:iCs/>
          <w:szCs w:val="24"/>
        </w:rPr>
      </w:pPr>
      <w:r w:rsidRPr="00AE5FFF">
        <w:rPr>
          <w:rFonts w:ascii="Arial" w:hAnsi="Arial" w:cs="Arial"/>
          <w:i/>
          <w:iCs/>
          <w:szCs w:val="24"/>
        </w:rPr>
        <w:t>(a)   The scope of work will be completed within 4 (four) months of our appointment. </w:t>
      </w:r>
    </w:p>
    <w:p w14:paraId="59129815" w14:textId="77777777" w:rsidR="00AE5FFF" w:rsidRPr="00AE5FFF" w:rsidRDefault="00AE5FFF" w:rsidP="00AE5FFF">
      <w:pPr>
        <w:ind w:left="1560"/>
        <w:jc w:val="both"/>
        <w:rPr>
          <w:rFonts w:ascii="Arial" w:hAnsi="Arial" w:cs="Arial"/>
          <w:i/>
          <w:iCs/>
          <w:szCs w:val="24"/>
        </w:rPr>
      </w:pPr>
      <w:r w:rsidRPr="00AE5FFF">
        <w:rPr>
          <w:rFonts w:ascii="Arial" w:hAnsi="Arial" w:cs="Arial"/>
          <w:i/>
          <w:iCs/>
          <w:szCs w:val="24"/>
        </w:rPr>
        <w:t>(b)   The scope of work does not include any tax related advice.</w:t>
      </w:r>
    </w:p>
    <w:p w14:paraId="619F8801" w14:textId="4E07A9CD" w:rsidR="00AE5FFF" w:rsidRPr="00AE5FFF" w:rsidRDefault="00AE5FFF" w:rsidP="00AE5FFF">
      <w:pPr>
        <w:ind w:left="1560"/>
        <w:jc w:val="both"/>
        <w:rPr>
          <w:rFonts w:ascii="Arial" w:hAnsi="Arial" w:cs="Arial"/>
          <w:i/>
          <w:iCs/>
          <w:szCs w:val="24"/>
        </w:rPr>
      </w:pPr>
      <w:r w:rsidRPr="00AE5FFF">
        <w:rPr>
          <w:rFonts w:ascii="Arial" w:hAnsi="Arial" w:cs="Arial"/>
          <w:i/>
          <w:iCs/>
          <w:szCs w:val="24"/>
        </w:rPr>
        <w:t> (c)   All out of pocket expenses including any consultant fees, travel expenses, photocopying charges, word processing and documentation charges and other miscellaneous expenses relating to this assignment, would have to be reimbursed in full at actuals.</w:t>
      </w:r>
    </w:p>
    <w:p w14:paraId="403185E0" w14:textId="77777777" w:rsidR="00AE5FFF" w:rsidRPr="00AE5FFF" w:rsidRDefault="00AE5FFF" w:rsidP="00AE5FFF">
      <w:pPr>
        <w:ind w:left="1560"/>
        <w:jc w:val="both"/>
        <w:rPr>
          <w:rFonts w:ascii="Arial" w:hAnsi="Arial" w:cs="Arial"/>
          <w:i/>
          <w:iCs/>
          <w:szCs w:val="24"/>
        </w:rPr>
      </w:pPr>
      <w:r w:rsidRPr="00AE5FFF">
        <w:rPr>
          <w:rFonts w:ascii="Arial" w:hAnsi="Arial" w:cs="Arial"/>
          <w:i/>
          <w:iCs/>
          <w:szCs w:val="24"/>
        </w:rPr>
        <w:lastRenderedPageBreak/>
        <w:t> </w:t>
      </w:r>
    </w:p>
    <w:p w14:paraId="46E9B159" w14:textId="77777777" w:rsidR="00AE5FFF" w:rsidRPr="00AE5FFF" w:rsidRDefault="00AE5FFF" w:rsidP="00AE5FFF">
      <w:pPr>
        <w:ind w:left="1560"/>
        <w:jc w:val="both"/>
        <w:rPr>
          <w:rFonts w:ascii="Arial" w:hAnsi="Arial" w:cs="Arial"/>
          <w:i/>
          <w:iCs/>
          <w:szCs w:val="24"/>
        </w:rPr>
      </w:pPr>
      <w:r w:rsidRPr="00AE5FFF">
        <w:rPr>
          <w:rFonts w:ascii="Arial" w:hAnsi="Arial" w:cs="Arial"/>
          <w:i/>
          <w:iCs/>
          <w:szCs w:val="24"/>
        </w:rPr>
        <w:t>(d)   All our rates are exclusive of GST and all other applicable taxes. Currently as per the law, Legal Services are covered under the Reverse Charge Mechanism (RCM). Service Recipient should pay GST as applicable. Invoices raised, will specifically highlight the Service Accounting Code (SAC) as required under GST. </w:t>
      </w:r>
    </w:p>
    <w:p w14:paraId="1D74F4EA" w14:textId="77777777" w:rsidR="00AE5FFF" w:rsidRPr="00AE5FFF" w:rsidRDefault="00AE5FFF" w:rsidP="00AE5FFF">
      <w:pPr>
        <w:ind w:left="1560"/>
        <w:jc w:val="both"/>
        <w:rPr>
          <w:rFonts w:ascii="Arial" w:hAnsi="Arial" w:cs="Arial"/>
          <w:i/>
          <w:iCs/>
          <w:szCs w:val="24"/>
        </w:rPr>
      </w:pPr>
      <w:r w:rsidRPr="00AE5FFF">
        <w:rPr>
          <w:rFonts w:ascii="Arial" w:hAnsi="Arial" w:cs="Arial"/>
          <w:i/>
          <w:iCs/>
          <w:szCs w:val="24"/>
        </w:rPr>
        <w:t>(e)   Invoice for the complete amount will be raised at the end of 4 months from date of commencement of the assignment and will be payable within 1 month from the date of invoice. </w:t>
      </w:r>
    </w:p>
    <w:p w14:paraId="0DB9DC39" w14:textId="596894E5" w:rsidR="00217CF2" w:rsidRPr="00AE5FFF" w:rsidRDefault="00AE5FFF" w:rsidP="00217CF2">
      <w:pPr>
        <w:jc w:val="both"/>
        <w:rPr>
          <w:rFonts w:ascii="Arial" w:hAnsi="Arial" w:cs="Arial"/>
          <w:szCs w:val="24"/>
        </w:rPr>
      </w:pPr>
      <w:r w:rsidRPr="00AE5FFF">
        <w:rPr>
          <w:rFonts w:ascii="Arial" w:hAnsi="Arial" w:cs="Arial"/>
          <w:szCs w:val="24"/>
        </w:rPr>
        <w:t> </w:t>
      </w:r>
    </w:p>
    <w:p w14:paraId="1CED8EE1" w14:textId="6A6C8DE0" w:rsidR="00217CF2" w:rsidRPr="00AE5FFF" w:rsidRDefault="00217CF2" w:rsidP="00217CF2">
      <w:pPr>
        <w:pStyle w:val="ListParagraph"/>
        <w:numPr>
          <w:ilvl w:val="0"/>
          <w:numId w:val="5"/>
        </w:numPr>
        <w:jc w:val="both"/>
        <w:rPr>
          <w:rFonts w:ascii="Arial" w:hAnsi="Arial" w:cs="Arial"/>
          <w:szCs w:val="24"/>
        </w:rPr>
      </w:pPr>
      <w:r w:rsidRPr="00AE5FFF">
        <w:rPr>
          <w:rFonts w:ascii="Arial" w:hAnsi="Arial" w:cs="Arial"/>
          <w:szCs w:val="24"/>
        </w:rPr>
        <w:t>DGH vide email dated 18.09.2024</w:t>
      </w:r>
      <w:r w:rsidR="007413DA" w:rsidRPr="00AE5FFF">
        <w:rPr>
          <w:rFonts w:ascii="Arial" w:hAnsi="Arial" w:cs="Arial"/>
          <w:szCs w:val="24"/>
        </w:rPr>
        <w:t xml:space="preserve"> </w:t>
      </w:r>
      <w:r w:rsidR="007413DA" w:rsidRPr="00EF4F77">
        <w:rPr>
          <w:rFonts w:ascii="Arial" w:hAnsi="Arial" w:cs="Arial"/>
          <w:b/>
          <w:bCs/>
          <w:szCs w:val="24"/>
        </w:rPr>
        <w:t>(copy enclosed</w:t>
      </w:r>
      <w:r w:rsidR="00CB468D">
        <w:rPr>
          <w:rFonts w:ascii="Arial" w:hAnsi="Arial" w:cs="Arial"/>
          <w:b/>
          <w:bCs/>
          <w:szCs w:val="24"/>
        </w:rPr>
        <w:t xml:space="preserve"> as Annexure A</w:t>
      </w:r>
      <w:r w:rsidR="007413DA" w:rsidRPr="00EF4F77">
        <w:rPr>
          <w:rFonts w:ascii="Arial" w:hAnsi="Arial" w:cs="Arial"/>
          <w:b/>
          <w:bCs/>
          <w:szCs w:val="24"/>
        </w:rPr>
        <w:t>)</w:t>
      </w:r>
      <w:r w:rsidRPr="00AE5FFF">
        <w:rPr>
          <w:rFonts w:ascii="Arial" w:hAnsi="Arial" w:cs="Arial"/>
          <w:szCs w:val="24"/>
        </w:rPr>
        <w:t xml:space="preserve"> </w:t>
      </w:r>
      <w:r w:rsidR="007413DA" w:rsidRPr="00AE5FFF">
        <w:rPr>
          <w:rFonts w:ascii="Arial" w:hAnsi="Arial" w:cs="Arial"/>
          <w:szCs w:val="24"/>
        </w:rPr>
        <w:t>so</w:t>
      </w:r>
      <w:r w:rsidR="00EF4F77">
        <w:rPr>
          <w:rFonts w:ascii="Arial" w:hAnsi="Arial" w:cs="Arial"/>
          <w:szCs w:val="24"/>
        </w:rPr>
        <w:t>ugh</w:t>
      </w:r>
      <w:r w:rsidR="007413DA" w:rsidRPr="00AE5FFF">
        <w:rPr>
          <w:rFonts w:ascii="Arial" w:hAnsi="Arial" w:cs="Arial"/>
          <w:szCs w:val="24"/>
        </w:rPr>
        <w:t xml:space="preserve">t certain clarifications </w:t>
      </w:r>
      <w:r w:rsidR="00EF4F77">
        <w:rPr>
          <w:rFonts w:ascii="Arial" w:hAnsi="Arial" w:cs="Arial"/>
          <w:szCs w:val="24"/>
        </w:rPr>
        <w:t xml:space="preserve">from CAM </w:t>
      </w:r>
      <w:r w:rsidR="007413DA" w:rsidRPr="00AE5FFF">
        <w:rPr>
          <w:rFonts w:ascii="Arial" w:hAnsi="Arial" w:cs="Arial"/>
          <w:szCs w:val="24"/>
        </w:rPr>
        <w:t xml:space="preserve">about the work </w:t>
      </w:r>
      <w:r w:rsidR="00EF4F77" w:rsidRPr="00AE5FFF">
        <w:rPr>
          <w:rFonts w:ascii="Arial" w:hAnsi="Arial" w:cs="Arial"/>
          <w:szCs w:val="24"/>
        </w:rPr>
        <w:t>and</w:t>
      </w:r>
      <w:r w:rsidR="007413DA" w:rsidRPr="00AE5FFF">
        <w:rPr>
          <w:rFonts w:ascii="Arial" w:hAnsi="Arial" w:cs="Arial"/>
          <w:szCs w:val="24"/>
        </w:rPr>
        <w:t xml:space="preserve"> asked to reconsider the fees quoted and submit a disclosure about conflict of interest with MOPNG and DGH. </w:t>
      </w:r>
    </w:p>
    <w:p w14:paraId="6F2656BD" w14:textId="77777777" w:rsidR="00AE5FFF" w:rsidRDefault="00AE5FFF" w:rsidP="00EF4F77">
      <w:pPr>
        <w:pStyle w:val="ListParagraph"/>
        <w:jc w:val="both"/>
        <w:rPr>
          <w:rFonts w:ascii="Arial" w:hAnsi="Arial" w:cs="Arial"/>
          <w:szCs w:val="24"/>
        </w:rPr>
      </w:pPr>
    </w:p>
    <w:p w14:paraId="0E6BA52B" w14:textId="7C7DBEAF" w:rsidR="007413DA" w:rsidRPr="00AE5FFF" w:rsidRDefault="007413DA" w:rsidP="00217CF2">
      <w:pPr>
        <w:pStyle w:val="ListParagraph"/>
        <w:numPr>
          <w:ilvl w:val="0"/>
          <w:numId w:val="5"/>
        </w:numPr>
        <w:jc w:val="both"/>
        <w:rPr>
          <w:rFonts w:ascii="Arial" w:hAnsi="Arial" w:cs="Arial"/>
          <w:szCs w:val="24"/>
        </w:rPr>
      </w:pPr>
      <w:r w:rsidRPr="00AE5FFF">
        <w:rPr>
          <w:rFonts w:ascii="Arial" w:hAnsi="Arial" w:cs="Arial"/>
          <w:szCs w:val="24"/>
        </w:rPr>
        <w:t xml:space="preserve">CAM vide email dated 23.09.2024 </w:t>
      </w:r>
      <w:r w:rsidRPr="00EF4F77">
        <w:rPr>
          <w:rFonts w:ascii="Arial" w:hAnsi="Arial" w:cs="Arial"/>
          <w:b/>
          <w:bCs/>
          <w:szCs w:val="24"/>
        </w:rPr>
        <w:t>(copy enclosed</w:t>
      </w:r>
      <w:r w:rsidR="00CB468D">
        <w:rPr>
          <w:rFonts w:ascii="Arial" w:hAnsi="Arial" w:cs="Arial"/>
          <w:b/>
          <w:bCs/>
          <w:szCs w:val="24"/>
        </w:rPr>
        <w:t xml:space="preserve"> </w:t>
      </w:r>
      <w:r w:rsidR="00CB468D">
        <w:rPr>
          <w:rFonts w:ascii="Arial" w:hAnsi="Arial" w:cs="Arial"/>
          <w:b/>
          <w:bCs/>
          <w:szCs w:val="24"/>
        </w:rPr>
        <w:t>as Annexure</w:t>
      </w:r>
      <w:r w:rsidR="00CB468D">
        <w:rPr>
          <w:rFonts w:ascii="Arial" w:hAnsi="Arial" w:cs="Arial"/>
          <w:b/>
          <w:bCs/>
          <w:szCs w:val="24"/>
        </w:rPr>
        <w:t xml:space="preserve"> B</w:t>
      </w:r>
      <w:r w:rsidRPr="00EF4F77">
        <w:rPr>
          <w:rFonts w:ascii="Arial" w:hAnsi="Arial" w:cs="Arial"/>
          <w:b/>
          <w:bCs/>
          <w:szCs w:val="24"/>
        </w:rPr>
        <w:t>)</w:t>
      </w:r>
      <w:r w:rsidRPr="00AE5FFF">
        <w:rPr>
          <w:rFonts w:ascii="Arial" w:hAnsi="Arial" w:cs="Arial"/>
          <w:szCs w:val="24"/>
        </w:rPr>
        <w:t xml:space="preserve"> submitted a revised proposal reiterating the lump sum fee of </w:t>
      </w:r>
      <w:r w:rsidRPr="00EF4F77">
        <w:rPr>
          <w:rFonts w:ascii="Arial" w:hAnsi="Arial" w:cs="Arial"/>
          <w:b/>
          <w:bCs/>
          <w:szCs w:val="24"/>
        </w:rPr>
        <w:t>Rs. 35,00,000</w:t>
      </w:r>
      <w:r w:rsidR="00EF4F77">
        <w:rPr>
          <w:rFonts w:ascii="Arial" w:hAnsi="Arial" w:cs="Arial"/>
          <w:b/>
          <w:bCs/>
          <w:szCs w:val="24"/>
        </w:rPr>
        <w:t>.00</w:t>
      </w:r>
      <w:r w:rsidRPr="00AE5FFF">
        <w:rPr>
          <w:rFonts w:ascii="Arial" w:hAnsi="Arial" w:cs="Arial"/>
          <w:szCs w:val="24"/>
        </w:rPr>
        <w:t xml:space="preserve"> but increased the scope of work to 6 months.</w:t>
      </w:r>
    </w:p>
    <w:p w14:paraId="33E1AAFE" w14:textId="77777777" w:rsidR="00EF4F77" w:rsidRDefault="00EF4F77" w:rsidP="00EF4F77">
      <w:pPr>
        <w:pStyle w:val="ListParagraph"/>
        <w:jc w:val="both"/>
        <w:rPr>
          <w:rFonts w:ascii="Arial" w:hAnsi="Arial" w:cs="Arial"/>
          <w:szCs w:val="24"/>
        </w:rPr>
      </w:pPr>
    </w:p>
    <w:p w14:paraId="5818318E" w14:textId="779F4E0D" w:rsidR="007413DA" w:rsidRDefault="007413DA" w:rsidP="00217CF2">
      <w:pPr>
        <w:pStyle w:val="ListParagraph"/>
        <w:numPr>
          <w:ilvl w:val="0"/>
          <w:numId w:val="5"/>
        </w:numPr>
        <w:jc w:val="both"/>
        <w:rPr>
          <w:rFonts w:ascii="Arial" w:hAnsi="Arial" w:cs="Arial"/>
          <w:i/>
          <w:iCs/>
          <w:szCs w:val="24"/>
        </w:rPr>
      </w:pPr>
      <w:r w:rsidRPr="00AE5FFF">
        <w:rPr>
          <w:rFonts w:ascii="Arial" w:hAnsi="Arial" w:cs="Arial"/>
          <w:szCs w:val="24"/>
        </w:rPr>
        <w:t xml:space="preserve">MOPNG vide email dated 27.09.2024 </w:t>
      </w:r>
      <w:r w:rsidRPr="00EF4F77">
        <w:rPr>
          <w:rFonts w:ascii="Arial" w:hAnsi="Arial" w:cs="Arial"/>
          <w:b/>
          <w:bCs/>
          <w:szCs w:val="24"/>
        </w:rPr>
        <w:t>(copy enclosed</w:t>
      </w:r>
      <w:r w:rsidR="00CB468D">
        <w:rPr>
          <w:rFonts w:ascii="Arial" w:hAnsi="Arial" w:cs="Arial"/>
          <w:b/>
          <w:bCs/>
          <w:szCs w:val="24"/>
        </w:rPr>
        <w:t xml:space="preserve"> </w:t>
      </w:r>
      <w:r w:rsidR="00CB468D">
        <w:rPr>
          <w:rFonts w:ascii="Arial" w:hAnsi="Arial" w:cs="Arial"/>
          <w:b/>
          <w:bCs/>
          <w:szCs w:val="24"/>
        </w:rPr>
        <w:t>as Annexure</w:t>
      </w:r>
      <w:r w:rsidR="00CB468D">
        <w:rPr>
          <w:rFonts w:ascii="Arial" w:hAnsi="Arial" w:cs="Arial"/>
          <w:b/>
          <w:bCs/>
          <w:szCs w:val="24"/>
        </w:rPr>
        <w:t xml:space="preserve"> C</w:t>
      </w:r>
      <w:r w:rsidRPr="00EF4F77">
        <w:rPr>
          <w:rFonts w:ascii="Arial" w:hAnsi="Arial" w:cs="Arial"/>
          <w:b/>
          <w:bCs/>
          <w:szCs w:val="24"/>
        </w:rPr>
        <w:t>)</w:t>
      </w:r>
      <w:r w:rsidRPr="00AE5FFF">
        <w:rPr>
          <w:rFonts w:ascii="Arial" w:hAnsi="Arial" w:cs="Arial"/>
          <w:szCs w:val="24"/>
        </w:rPr>
        <w:t xml:space="preserve"> confirmed the terms of engagement of CAM and mentioned in the mail </w:t>
      </w:r>
      <w:r w:rsidRPr="00EF4F77">
        <w:rPr>
          <w:rFonts w:ascii="Arial" w:hAnsi="Arial" w:cs="Arial"/>
          <w:i/>
          <w:iCs/>
          <w:szCs w:val="24"/>
        </w:rPr>
        <w:t>“the scope of work is fine. DGH may proceed”.</w:t>
      </w:r>
    </w:p>
    <w:p w14:paraId="3B9D98CF" w14:textId="77777777" w:rsidR="00122B3A" w:rsidRPr="00122B3A" w:rsidRDefault="00122B3A" w:rsidP="00122B3A">
      <w:pPr>
        <w:pStyle w:val="ListParagraph"/>
        <w:rPr>
          <w:rFonts w:ascii="Arial" w:hAnsi="Arial" w:cs="Arial"/>
          <w:i/>
          <w:iCs/>
          <w:szCs w:val="24"/>
        </w:rPr>
      </w:pPr>
    </w:p>
    <w:p w14:paraId="26F261C5" w14:textId="0E58F611" w:rsidR="00122B3A" w:rsidRPr="00EF4F77" w:rsidRDefault="00122B3A" w:rsidP="00217CF2">
      <w:pPr>
        <w:pStyle w:val="ListParagraph"/>
        <w:numPr>
          <w:ilvl w:val="0"/>
          <w:numId w:val="5"/>
        </w:numPr>
        <w:jc w:val="both"/>
        <w:rPr>
          <w:rFonts w:ascii="Arial" w:hAnsi="Arial" w:cs="Arial"/>
          <w:i/>
          <w:iCs/>
          <w:szCs w:val="24"/>
        </w:rPr>
      </w:pPr>
      <w:r>
        <w:rPr>
          <w:rFonts w:ascii="Arial" w:hAnsi="Arial" w:cs="Arial"/>
          <w:szCs w:val="24"/>
        </w:rPr>
        <w:t xml:space="preserve">DGH vide email dated 15.10.2024 </w:t>
      </w:r>
      <w:r w:rsidRPr="00122B3A">
        <w:rPr>
          <w:rFonts w:ascii="Arial" w:hAnsi="Arial" w:cs="Arial"/>
          <w:b/>
          <w:bCs/>
          <w:szCs w:val="24"/>
        </w:rPr>
        <w:t>(copy enclosed</w:t>
      </w:r>
      <w:r w:rsidR="00CB468D">
        <w:rPr>
          <w:rFonts w:ascii="Arial" w:hAnsi="Arial" w:cs="Arial"/>
          <w:b/>
          <w:bCs/>
          <w:szCs w:val="24"/>
        </w:rPr>
        <w:t xml:space="preserve"> </w:t>
      </w:r>
      <w:r w:rsidR="00CB468D">
        <w:rPr>
          <w:rFonts w:ascii="Arial" w:hAnsi="Arial" w:cs="Arial"/>
          <w:b/>
          <w:bCs/>
          <w:szCs w:val="24"/>
        </w:rPr>
        <w:t>as Annexure</w:t>
      </w:r>
      <w:r w:rsidR="00CB468D">
        <w:rPr>
          <w:rFonts w:ascii="Arial" w:hAnsi="Arial" w:cs="Arial"/>
          <w:b/>
          <w:bCs/>
          <w:szCs w:val="24"/>
        </w:rPr>
        <w:t xml:space="preserve"> D</w:t>
      </w:r>
      <w:r w:rsidRPr="00122B3A">
        <w:rPr>
          <w:rFonts w:ascii="Arial" w:hAnsi="Arial" w:cs="Arial"/>
          <w:b/>
          <w:bCs/>
          <w:szCs w:val="24"/>
        </w:rPr>
        <w:t>)</w:t>
      </w:r>
      <w:r>
        <w:rPr>
          <w:rFonts w:ascii="Arial" w:hAnsi="Arial" w:cs="Arial"/>
          <w:szCs w:val="24"/>
        </w:rPr>
        <w:t xml:space="preserve"> referred the matter to MOPNG and sought their instruction for engagement of CAM. Thereafter, in meeting dated 07.10.2024 at DGH, JS (E), MOPNG verbally instructed to engage CAM. </w:t>
      </w:r>
    </w:p>
    <w:p w14:paraId="37057154" w14:textId="77777777" w:rsidR="00EF4F77" w:rsidRDefault="00EF4F77" w:rsidP="00EF4F77">
      <w:pPr>
        <w:pStyle w:val="ListParagraph"/>
        <w:jc w:val="both"/>
        <w:rPr>
          <w:rFonts w:ascii="Arial" w:hAnsi="Arial" w:cs="Arial"/>
          <w:szCs w:val="24"/>
        </w:rPr>
      </w:pPr>
    </w:p>
    <w:p w14:paraId="2F4118D5" w14:textId="7EC8D9BD" w:rsidR="00AB02EF" w:rsidRDefault="00AB02EF" w:rsidP="00217CF2">
      <w:pPr>
        <w:pStyle w:val="ListParagraph"/>
        <w:numPr>
          <w:ilvl w:val="0"/>
          <w:numId w:val="5"/>
        </w:numPr>
        <w:jc w:val="both"/>
        <w:rPr>
          <w:rFonts w:ascii="Arial" w:hAnsi="Arial" w:cs="Arial"/>
          <w:szCs w:val="24"/>
        </w:rPr>
      </w:pPr>
      <w:r w:rsidRPr="00AE5FFF">
        <w:rPr>
          <w:rFonts w:ascii="Arial" w:hAnsi="Arial" w:cs="Arial"/>
          <w:szCs w:val="24"/>
        </w:rPr>
        <w:t xml:space="preserve">It is noteworthy that DGH had earlier engaged M/s CAM </w:t>
      </w:r>
      <w:r w:rsidRPr="00AE5FFF">
        <w:rPr>
          <w:rFonts w:ascii="Arial" w:hAnsi="Arial" w:cs="Arial"/>
          <w:szCs w:val="24"/>
        </w:rPr>
        <w:t xml:space="preserve">in Issue of Special Additional Excise Duty in Blocks RJ-ON-90/1, CB-OS/2 &amp; </w:t>
      </w:r>
      <w:proofErr w:type="spellStart"/>
      <w:r w:rsidRPr="00AE5FFF">
        <w:rPr>
          <w:rFonts w:ascii="Arial" w:hAnsi="Arial" w:cs="Arial"/>
          <w:szCs w:val="24"/>
        </w:rPr>
        <w:t>Ravva</w:t>
      </w:r>
      <w:proofErr w:type="spellEnd"/>
      <w:r w:rsidRPr="00AE5FFF">
        <w:rPr>
          <w:rFonts w:ascii="Arial" w:hAnsi="Arial" w:cs="Arial"/>
          <w:szCs w:val="24"/>
        </w:rPr>
        <w:t xml:space="preserve"> Oil Field</w:t>
      </w:r>
      <w:r w:rsidRPr="00AE5FFF">
        <w:rPr>
          <w:rFonts w:ascii="Arial" w:hAnsi="Arial" w:cs="Arial"/>
          <w:szCs w:val="24"/>
        </w:rPr>
        <w:t xml:space="preserve">, </w:t>
      </w:r>
      <w:r w:rsidRPr="00AE5FFF">
        <w:rPr>
          <w:rFonts w:ascii="Arial" w:hAnsi="Arial" w:cs="Arial"/>
          <w:szCs w:val="24"/>
        </w:rPr>
        <w:t>File No. Legal-17/2</w:t>
      </w:r>
      <w:r w:rsidR="00266C4A">
        <w:rPr>
          <w:rFonts w:ascii="Arial" w:hAnsi="Arial" w:cs="Arial"/>
          <w:szCs w:val="24"/>
        </w:rPr>
        <w:t>7</w:t>
      </w:r>
      <w:r w:rsidRPr="00AE5FFF">
        <w:rPr>
          <w:rFonts w:ascii="Arial" w:hAnsi="Arial" w:cs="Arial"/>
          <w:szCs w:val="24"/>
        </w:rPr>
        <w:t xml:space="preserve">/2022-DGH (Computer No. </w:t>
      </w:r>
      <w:r w:rsidRPr="00AE5FFF">
        <w:rPr>
          <w:rFonts w:ascii="Arial" w:hAnsi="Arial" w:cs="Arial"/>
          <w:szCs w:val="24"/>
        </w:rPr>
        <w:t>8</w:t>
      </w:r>
      <w:r w:rsidR="00266C4A">
        <w:rPr>
          <w:rFonts w:ascii="Arial" w:hAnsi="Arial" w:cs="Arial"/>
          <w:szCs w:val="24"/>
        </w:rPr>
        <w:t>121</w:t>
      </w:r>
      <w:r w:rsidRPr="00AE5FFF">
        <w:rPr>
          <w:rFonts w:ascii="Arial" w:hAnsi="Arial" w:cs="Arial"/>
          <w:szCs w:val="24"/>
        </w:rPr>
        <w:t xml:space="preserve">) </w:t>
      </w:r>
      <w:r w:rsidRPr="00EF4F77">
        <w:rPr>
          <w:rFonts w:ascii="Arial" w:hAnsi="Arial" w:cs="Arial"/>
          <w:b/>
          <w:bCs/>
          <w:szCs w:val="24"/>
        </w:rPr>
        <w:t>(copy enclosed</w:t>
      </w:r>
      <w:r w:rsidR="00CB468D">
        <w:rPr>
          <w:rFonts w:ascii="Arial" w:hAnsi="Arial" w:cs="Arial"/>
          <w:b/>
          <w:bCs/>
          <w:szCs w:val="24"/>
        </w:rPr>
        <w:t xml:space="preserve"> </w:t>
      </w:r>
      <w:r w:rsidR="00CB468D">
        <w:rPr>
          <w:rFonts w:ascii="Arial" w:hAnsi="Arial" w:cs="Arial"/>
          <w:b/>
          <w:bCs/>
          <w:szCs w:val="24"/>
        </w:rPr>
        <w:t>as Annexure</w:t>
      </w:r>
      <w:r w:rsidR="00CB468D">
        <w:rPr>
          <w:rFonts w:ascii="Arial" w:hAnsi="Arial" w:cs="Arial"/>
          <w:b/>
          <w:bCs/>
          <w:szCs w:val="24"/>
        </w:rPr>
        <w:t xml:space="preserve"> E</w:t>
      </w:r>
      <w:r w:rsidRPr="00EF4F77">
        <w:rPr>
          <w:rFonts w:ascii="Arial" w:hAnsi="Arial" w:cs="Arial"/>
          <w:b/>
          <w:bCs/>
          <w:szCs w:val="24"/>
        </w:rPr>
        <w:t>).</w:t>
      </w:r>
      <w:r w:rsidRPr="00AE5FFF">
        <w:rPr>
          <w:rFonts w:ascii="Arial" w:hAnsi="Arial" w:cs="Arial"/>
          <w:szCs w:val="24"/>
        </w:rPr>
        <w:t xml:space="preserve"> </w:t>
      </w:r>
    </w:p>
    <w:p w14:paraId="4A497D81" w14:textId="77777777" w:rsidR="005F439B" w:rsidRPr="005F439B" w:rsidRDefault="005F439B" w:rsidP="005F439B">
      <w:pPr>
        <w:pStyle w:val="ListParagraph"/>
        <w:rPr>
          <w:rFonts w:ascii="Arial" w:hAnsi="Arial" w:cs="Arial"/>
          <w:szCs w:val="24"/>
        </w:rPr>
      </w:pPr>
    </w:p>
    <w:p w14:paraId="5C008C94" w14:textId="77777777" w:rsidR="0020158A" w:rsidRDefault="005F439B" w:rsidP="005F439B">
      <w:pPr>
        <w:pStyle w:val="ListParagraph"/>
        <w:numPr>
          <w:ilvl w:val="0"/>
          <w:numId w:val="5"/>
        </w:numPr>
        <w:jc w:val="both"/>
        <w:rPr>
          <w:rFonts w:ascii="Arial" w:hAnsi="Arial" w:cs="Arial"/>
          <w:szCs w:val="24"/>
        </w:rPr>
      </w:pPr>
      <w:r>
        <w:rPr>
          <w:rFonts w:ascii="Arial" w:hAnsi="Arial" w:cs="Arial"/>
          <w:szCs w:val="24"/>
        </w:rPr>
        <w:t>It is noteworthy that p</w:t>
      </w:r>
      <w:r w:rsidRPr="005F439B">
        <w:rPr>
          <w:rFonts w:ascii="Arial" w:hAnsi="Arial" w:cs="Arial"/>
          <w:szCs w:val="24"/>
        </w:rPr>
        <w:t xml:space="preserve">ursuant to the tendering process, the </w:t>
      </w:r>
      <w:r>
        <w:rPr>
          <w:rFonts w:ascii="Arial" w:hAnsi="Arial" w:cs="Arial"/>
          <w:szCs w:val="24"/>
        </w:rPr>
        <w:t xml:space="preserve">following four </w:t>
      </w:r>
      <w:r w:rsidRPr="005F439B">
        <w:rPr>
          <w:rFonts w:ascii="Arial" w:hAnsi="Arial" w:cs="Arial"/>
          <w:szCs w:val="24"/>
        </w:rPr>
        <w:t>law firms have been empanelled</w:t>
      </w:r>
      <w:r>
        <w:rPr>
          <w:rFonts w:ascii="Arial" w:hAnsi="Arial" w:cs="Arial"/>
          <w:szCs w:val="24"/>
        </w:rPr>
        <w:t xml:space="preserve"> by DGH at blended man hour rate of Rs.3,999.00:</w:t>
      </w:r>
    </w:p>
    <w:p w14:paraId="1C1DE136" w14:textId="77777777" w:rsidR="0020158A" w:rsidRPr="0020158A" w:rsidRDefault="0020158A" w:rsidP="0020158A">
      <w:pPr>
        <w:pStyle w:val="ListParagraph"/>
        <w:rPr>
          <w:rFonts w:ascii="Arial" w:hAnsi="Arial" w:cs="Arial"/>
          <w:szCs w:val="24"/>
        </w:rPr>
      </w:pPr>
    </w:p>
    <w:p w14:paraId="712DAE1B" w14:textId="77777777" w:rsidR="005F439B" w:rsidRPr="005F439B" w:rsidRDefault="005F439B" w:rsidP="005F439B">
      <w:pPr>
        <w:pStyle w:val="ListParagraph"/>
        <w:numPr>
          <w:ilvl w:val="0"/>
          <w:numId w:val="6"/>
        </w:numPr>
        <w:tabs>
          <w:tab w:val="clear" w:pos="720"/>
        </w:tabs>
        <w:ind w:left="2410"/>
        <w:jc w:val="both"/>
        <w:rPr>
          <w:rFonts w:ascii="Arial" w:hAnsi="Arial" w:cs="Arial"/>
          <w:szCs w:val="24"/>
        </w:rPr>
      </w:pPr>
      <w:r w:rsidRPr="005F439B">
        <w:rPr>
          <w:rFonts w:ascii="Arial" w:hAnsi="Arial" w:cs="Arial"/>
          <w:szCs w:val="24"/>
        </w:rPr>
        <w:t>M/s. Kocchar &amp; Co.</w:t>
      </w:r>
    </w:p>
    <w:p w14:paraId="007D3E7E" w14:textId="77777777" w:rsidR="005F439B" w:rsidRPr="005F439B" w:rsidRDefault="005F439B" w:rsidP="005F439B">
      <w:pPr>
        <w:pStyle w:val="ListParagraph"/>
        <w:numPr>
          <w:ilvl w:val="0"/>
          <w:numId w:val="6"/>
        </w:numPr>
        <w:tabs>
          <w:tab w:val="clear" w:pos="720"/>
        </w:tabs>
        <w:ind w:left="2410"/>
        <w:jc w:val="both"/>
        <w:rPr>
          <w:rFonts w:ascii="Arial" w:hAnsi="Arial" w:cs="Arial"/>
          <w:szCs w:val="24"/>
        </w:rPr>
      </w:pPr>
      <w:r w:rsidRPr="005F439B">
        <w:rPr>
          <w:rFonts w:ascii="Arial" w:hAnsi="Arial" w:cs="Arial"/>
          <w:szCs w:val="24"/>
        </w:rPr>
        <w:t>M/s. DSK Legal</w:t>
      </w:r>
    </w:p>
    <w:p w14:paraId="5FD324D7" w14:textId="77777777" w:rsidR="005F439B" w:rsidRPr="005F439B" w:rsidRDefault="005F439B" w:rsidP="005F439B">
      <w:pPr>
        <w:pStyle w:val="ListParagraph"/>
        <w:numPr>
          <w:ilvl w:val="0"/>
          <w:numId w:val="6"/>
        </w:numPr>
        <w:tabs>
          <w:tab w:val="clear" w:pos="720"/>
        </w:tabs>
        <w:ind w:left="2410"/>
        <w:jc w:val="both"/>
        <w:rPr>
          <w:rFonts w:ascii="Arial" w:hAnsi="Arial" w:cs="Arial"/>
          <w:szCs w:val="24"/>
        </w:rPr>
      </w:pPr>
      <w:r w:rsidRPr="005F439B">
        <w:rPr>
          <w:rFonts w:ascii="Arial" w:hAnsi="Arial" w:cs="Arial"/>
          <w:szCs w:val="24"/>
        </w:rPr>
        <w:t>M/s. Dua &amp; Associates</w:t>
      </w:r>
    </w:p>
    <w:p w14:paraId="4239275F" w14:textId="77777777" w:rsidR="005F439B" w:rsidRPr="005F439B" w:rsidRDefault="005F439B" w:rsidP="005F439B">
      <w:pPr>
        <w:pStyle w:val="ListParagraph"/>
        <w:numPr>
          <w:ilvl w:val="0"/>
          <w:numId w:val="6"/>
        </w:numPr>
        <w:tabs>
          <w:tab w:val="clear" w:pos="720"/>
        </w:tabs>
        <w:ind w:left="2410"/>
        <w:jc w:val="both"/>
        <w:rPr>
          <w:rFonts w:ascii="Arial" w:hAnsi="Arial" w:cs="Arial"/>
          <w:szCs w:val="24"/>
        </w:rPr>
      </w:pPr>
      <w:r w:rsidRPr="005F439B">
        <w:rPr>
          <w:rFonts w:ascii="Arial" w:hAnsi="Arial" w:cs="Arial"/>
          <w:szCs w:val="24"/>
        </w:rPr>
        <w:t>M/s. Link Legal</w:t>
      </w:r>
    </w:p>
    <w:p w14:paraId="3C906F74" w14:textId="77777777" w:rsidR="0020158A" w:rsidRDefault="0020158A" w:rsidP="005F439B">
      <w:pPr>
        <w:pStyle w:val="ListParagraph"/>
        <w:rPr>
          <w:rFonts w:ascii="Arial" w:hAnsi="Arial" w:cs="Arial"/>
          <w:szCs w:val="24"/>
        </w:rPr>
      </w:pPr>
    </w:p>
    <w:p w14:paraId="25A82F98" w14:textId="4E8EA637" w:rsidR="005F439B" w:rsidRPr="005F439B" w:rsidRDefault="005F439B" w:rsidP="005F439B">
      <w:pPr>
        <w:pStyle w:val="ListParagraph"/>
        <w:rPr>
          <w:rFonts w:ascii="Arial" w:hAnsi="Arial" w:cs="Arial"/>
          <w:szCs w:val="24"/>
        </w:rPr>
      </w:pPr>
      <w:r>
        <w:rPr>
          <w:rFonts w:ascii="Arial" w:hAnsi="Arial" w:cs="Arial"/>
          <w:szCs w:val="24"/>
        </w:rPr>
        <w:lastRenderedPageBreak/>
        <w:t xml:space="preserve">CAM </w:t>
      </w:r>
      <w:r w:rsidR="0020158A">
        <w:rPr>
          <w:rFonts w:ascii="Arial" w:hAnsi="Arial" w:cs="Arial"/>
          <w:szCs w:val="24"/>
        </w:rPr>
        <w:t xml:space="preserve">is not an empanelled Law firm of DGH. </w:t>
      </w:r>
    </w:p>
    <w:p w14:paraId="670EFAAC" w14:textId="77777777" w:rsidR="005F439B" w:rsidRPr="00AE5FFF" w:rsidRDefault="005F439B" w:rsidP="005F439B">
      <w:pPr>
        <w:pStyle w:val="ListParagraph"/>
        <w:jc w:val="both"/>
        <w:rPr>
          <w:rFonts w:ascii="Arial" w:hAnsi="Arial" w:cs="Arial"/>
          <w:szCs w:val="24"/>
        </w:rPr>
      </w:pPr>
    </w:p>
    <w:p w14:paraId="608DC4BF" w14:textId="043119F4" w:rsidR="007413DA" w:rsidRPr="00AE5FFF" w:rsidRDefault="007413DA" w:rsidP="00217CF2">
      <w:pPr>
        <w:pStyle w:val="ListParagraph"/>
        <w:numPr>
          <w:ilvl w:val="0"/>
          <w:numId w:val="5"/>
        </w:numPr>
        <w:jc w:val="both"/>
        <w:rPr>
          <w:rFonts w:ascii="Arial" w:hAnsi="Arial" w:cs="Arial"/>
          <w:szCs w:val="24"/>
        </w:rPr>
      </w:pPr>
      <w:r w:rsidRPr="00AE5FFF">
        <w:rPr>
          <w:rFonts w:ascii="Arial" w:hAnsi="Arial" w:cs="Arial"/>
          <w:szCs w:val="24"/>
        </w:rPr>
        <w:t xml:space="preserve">CAM vide email dated 07.10.2024 </w:t>
      </w:r>
      <w:r w:rsidRPr="00EF4F77">
        <w:rPr>
          <w:rFonts w:ascii="Arial" w:hAnsi="Arial" w:cs="Arial"/>
          <w:b/>
          <w:bCs/>
          <w:szCs w:val="24"/>
        </w:rPr>
        <w:t>(copy enclosed</w:t>
      </w:r>
      <w:r w:rsidR="00CB468D">
        <w:rPr>
          <w:rFonts w:ascii="Arial" w:hAnsi="Arial" w:cs="Arial"/>
          <w:b/>
          <w:bCs/>
          <w:szCs w:val="24"/>
        </w:rPr>
        <w:t xml:space="preserve"> </w:t>
      </w:r>
      <w:r w:rsidR="00CB468D">
        <w:rPr>
          <w:rFonts w:ascii="Arial" w:hAnsi="Arial" w:cs="Arial"/>
          <w:b/>
          <w:bCs/>
          <w:szCs w:val="24"/>
        </w:rPr>
        <w:t>as Annexure</w:t>
      </w:r>
      <w:r w:rsidR="00CB468D">
        <w:rPr>
          <w:rFonts w:ascii="Arial" w:hAnsi="Arial" w:cs="Arial"/>
          <w:b/>
          <w:bCs/>
          <w:szCs w:val="24"/>
        </w:rPr>
        <w:t xml:space="preserve"> F</w:t>
      </w:r>
      <w:r w:rsidRPr="00EF4F77">
        <w:rPr>
          <w:rFonts w:ascii="Arial" w:hAnsi="Arial" w:cs="Arial"/>
          <w:b/>
          <w:bCs/>
          <w:szCs w:val="24"/>
        </w:rPr>
        <w:t>)</w:t>
      </w:r>
      <w:r w:rsidRPr="00AE5FFF">
        <w:rPr>
          <w:rFonts w:ascii="Arial" w:hAnsi="Arial" w:cs="Arial"/>
          <w:szCs w:val="24"/>
        </w:rPr>
        <w:t xml:space="preserve"> confirmed that there is no conflict of interest in taking up this assignment. </w:t>
      </w:r>
    </w:p>
    <w:p w14:paraId="64404C82" w14:textId="77777777" w:rsidR="00EF4F77" w:rsidRDefault="00EF4F77" w:rsidP="00CE4A8F">
      <w:pPr>
        <w:pStyle w:val="ListParagraph"/>
        <w:jc w:val="both"/>
        <w:rPr>
          <w:rFonts w:ascii="Arial" w:hAnsi="Arial" w:cs="Arial"/>
          <w:szCs w:val="24"/>
        </w:rPr>
      </w:pPr>
    </w:p>
    <w:p w14:paraId="47D72541" w14:textId="591FC48F" w:rsidR="00B1520D" w:rsidRPr="00AE5FFF" w:rsidRDefault="00CE4A8F" w:rsidP="00470CCD">
      <w:pPr>
        <w:pStyle w:val="ListParagraph"/>
        <w:numPr>
          <w:ilvl w:val="0"/>
          <w:numId w:val="5"/>
        </w:numPr>
        <w:jc w:val="both"/>
        <w:rPr>
          <w:rFonts w:ascii="Arial" w:hAnsi="Arial" w:cs="Arial"/>
          <w:szCs w:val="24"/>
        </w:rPr>
      </w:pPr>
      <w:r w:rsidRPr="005F439B">
        <w:rPr>
          <w:rFonts w:ascii="Arial" w:hAnsi="Arial" w:cs="Arial"/>
          <w:szCs w:val="24"/>
        </w:rPr>
        <w:t xml:space="preserve">In view of the above, </w:t>
      </w:r>
      <w:r w:rsidR="00AB02EF" w:rsidRPr="005F439B">
        <w:rPr>
          <w:rFonts w:ascii="Arial" w:hAnsi="Arial" w:cs="Arial"/>
          <w:szCs w:val="24"/>
        </w:rPr>
        <w:t xml:space="preserve">The Legal committee may </w:t>
      </w:r>
      <w:r w:rsidR="005F439B" w:rsidRPr="005F439B">
        <w:rPr>
          <w:rFonts w:ascii="Arial" w:hAnsi="Arial" w:cs="Arial"/>
          <w:szCs w:val="24"/>
        </w:rPr>
        <w:t xml:space="preserve">consider to </w:t>
      </w:r>
      <w:r w:rsidR="00CB468D" w:rsidRPr="005F439B">
        <w:rPr>
          <w:rFonts w:ascii="Arial" w:hAnsi="Arial" w:cs="Arial"/>
          <w:szCs w:val="24"/>
        </w:rPr>
        <w:t>recommend engagement</w:t>
      </w:r>
      <w:r w:rsidR="005F439B">
        <w:rPr>
          <w:rFonts w:ascii="Arial" w:hAnsi="Arial" w:cs="Arial"/>
          <w:szCs w:val="24"/>
        </w:rPr>
        <w:t xml:space="preserve"> of </w:t>
      </w:r>
      <w:r w:rsidR="005F439B" w:rsidRPr="005F439B">
        <w:rPr>
          <w:rFonts w:ascii="Arial" w:hAnsi="Arial" w:cs="Arial"/>
          <w:szCs w:val="24"/>
        </w:rPr>
        <w:t xml:space="preserve">CAM on the rate and terms stated in para 2 above and </w:t>
      </w:r>
      <w:r w:rsidR="005F439B" w:rsidRPr="005F439B">
        <w:rPr>
          <w:rFonts w:ascii="Arial" w:hAnsi="Arial" w:cs="Arial"/>
          <w:szCs w:val="24"/>
        </w:rPr>
        <w:t>CAM vide email dated 03.09.2024</w:t>
      </w:r>
      <w:r w:rsidR="005F439B" w:rsidRPr="005F439B">
        <w:rPr>
          <w:rFonts w:ascii="Arial" w:hAnsi="Arial" w:cs="Arial"/>
          <w:szCs w:val="24"/>
        </w:rPr>
        <w:t xml:space="preserve">. </w:t>
      </w:r>
    </w:p>
    <w:sectPr w:rsidR="00B1520D" w:rsidRPr="00AE5FF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0E1E0" w14:textId="77777777" w:rsidR="00405EFB" w:rsidRDefault="00405EFB" w:rsidP="0020158A">
      <w:pPr>
        <w:spacing w:after="0" w:line="240" w:lineRule="auto"/>
      </w:pPr>
      <w:r>
        <w:separator/>
      </w:r>
    </w:p>
  </w:endnote>
  <w:endnote w:type="continuationSeparator" w:id="0">
    <w:p w14:paraId="16DED2BE" w14:textId="77777777" w:rsidR="00405EFB" w:rsidRDefault="00405EFB" w:rsidP="0020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6FB1C" w14:textId="77777777" w:rsidR="0020158A" w:rsidRDefault="0020158A">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508A5A9D" w14:textId="77777777" w:rsidR="0020158A" w:rsidRDefault="00201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6E7E1" w14:textId="77777777" w:rsidR="00405EFB" w:rsidRDefault="00405EFB" w:rsidP="0020158A">
      <w:pPr>
        <w:spacing w:after="0" w:line="240" w:lineRule="auto"/>
      </w:pPr>
      <w:r>
        <w:separator/>
      </w:r>
    </w:p>
  </w:footnote>
  <w:footnote w:type="continuationSeparator" w:id="0">
    <w:p w14:paraId="12CA45AE" w14:textId="77777777" w:rsidR="00405EFB" w:rsidRDefault="00405EFB" w:rsidP="00201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65931"/>
    <w:multiLevelType w:val="multilevel"/>
    <w:tmpl w:val="DFF0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57CC2"/>
    <w:multiLevelType w:val="hybridMultilevel"/>
    <w:tmpl w:val="A35A6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DA4119"/>
    <w:multiLevelType w:val="multilevel"/>
    <w:tmpl w:val="361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C0672"/>
    <w:multiLevelType w:val="multilevel"/>
    <w:tmpl w:val="EA94C9C4"/>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D6D14"/>
    <w:multiLevelType w:val="multilevel"/>
    <w:tmpl w:val="DD58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A464C"/>
    <w:multiLevelType w:val="multilevel"/>
    <w:tmpl w:val="0D0623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795401">
    <w:abstractNumId w:val="0"/>
  </w:num>
  <w:num w:numId="2" w16cid:durableId="2001344839">
    <w:abstractNumId w:val="5"/>
  </w:num>
  <w:num w:numId="3" w16cid:durableId="505292784">
    <w:abstractNumId w:val="2"/>
  </w:num>
  <w:num w:numId="4" w16cid:durableId="105006591">
    <w:abstractNumId w:val="3"/>
  </w:num>
  <w:num w:numId="5" w16cid:durableId="744307077">
    <w:abstractNumId w:val="1"/>
  </w:num>
  <w:num w:numId="6" w16cid:durableId="2087454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0D"/>
    <w:rsid w:val="000F1510"/>
    <w:rsid w:val="001036DC"/>
    <w:rsid w:val="00122B3A"/>
    <w:rsid w:val="001E7970"/>
    <w:rsid w:val="0020158A"/>
    <w:rsid w:val="00217CF2"/>
    <w:rsid w:val="00266C4A"/>
    <w:rsid w:val="002E42FB"/>
    <w:rsid w:val="00405EFB"/>
    <w:rsid w:val="00491C92"/>
    <w:rsid w:val="005F439B"/>
    <w:rsid w:val="00606030"/>
    <w:rsid w:val="007413DA"/>
    <w:rsid w:val="00774635"/>
    <w:rsid w:val="007C7776"/>
    <w:rsid w:val="00860B4A"/>
    <w:rsid w:val="00AB02EF"/>
    <w:rsid w:val="00AE5FFF"/>
    <w:rsid w:val="00B1520D"/>
    <w:rsid w:val="00B664D8"/>
    <w:rsid w:val="00C16B97"/>
    <w:rsid w:val="00C16F04"/>
    <w:rsid w:val="00CB468D"/>
    <w:rsid w:val="00CE4A8F"/>
    <w:rsid w:val="00D77387"/>
    <w:rsid w:val="00DF59F4"/>
    <w:rsid w:val="00EF4F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E9CF"/>
  <w15:chartTrackingRefBased/>
  <w15:docId w15:val="{C3CA02CD-2388-4C4C-B828-0D5F5AD2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20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1520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1520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15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0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1520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1520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15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0D"/>
    <w:rPr>
      <w:rFonts w:eastAsiaTheme="majorEastAsia" w:cstheme="majorBidi"/>
      <w:color w:val="272727" w:themeColor="text1" w:themeTint="D8"/>
    </w:rPr>
  </w:style>
  <w:style w:type="paragraph" w:styleId="Title">
    <w:name w:val="Title"/>
    <w:basedOn w:val="Normal"/>
    <w:next w:val="Normal"/>
    <w:link w:val="TitleChar"/>
    <w:uiPriority w:val="10"/>
    <w:qFormat/>
    <w:rsid w:val="00B1520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520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1520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1520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1520D"/>
    <w:pPr>
      <w:spacing w:before="160"/>
      <w:jc w:val="center"/>
    </w:pPr>
    <w:rPr>
      <w:i/>
      <w:iCs/>
      <w:color w:val="404040" w:themeColor="text1" w:themeTint="BF"/>
    </w:rPr>
  </w:style>
  <w:style w:type="character" w:customStyle="1" w:styleId="QuoteChar">
    <w:name w:val="Quote Char"/>
    <w:basedOn w:val="DefaultParagraphFont"/>
    <w:link w:val="Quote"/>
    <w:uiPriority w:val="29"/>
    <w:rsid w:val="00B1520D"/>
    <w:rPr>
      <w:i/>
      <w:iCs/>
      <w:color w:val="404040" w:themeColor="text1" w:themeTint="BF"/>
    </w:rPr>
  </w:style>
  <w:style w:type="paragraph" w:styleId="ListParagraph">
    <w:name w:val="List Paragraph"/>
    <w:basedOn w:val="Normal"/>
    <w:uiPriority w:val="34"/>
    <w:qFormat/>
    <w:rsid w:val="00B1520D"/>
    <w:pPr>
      <w:ind w:left="720"/>
      <w:contextualSpacing/>
    </w:pPr>
  </w:style>
  <w:style w:type="character" w:styleId="IntenseEmphasis">
    <w:name w:val="Intense Emphasis"/>
    <w:basedOn w:val="DefaultParagraphFont"/>
    <w:uiPriority w:val="21"/>
    <w:qFormat/>
    <w:rsid w:val="00B1520D"/>
    <w:rPr>
      <w:i/>
      <w:iCs/>
      <w:color w:val="0F4761" w:themeColor="accent1" w:themeShade="BF"/>
    </w:rPr>
  </w:style>
  <w:style w:type="paragraph" w:styleId="IntenseQuote">
    <w:name w:val="Intense Quote"/>
    <w:basedOn w:val="Normal"/>
    <w:next w:val="Normal"/>
    <w:link w:val="IntenseQuoteChar"/>
    <w:uiPriority w:val="30"/>
    <w:qFormat/>
    <w:rsid w:val="00B15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20D"/>
    <w:rPr>
      <w:i/>
      <w:iCs/>
      <w:color w:val="0F4761" w:themeColor="accent1" w:themeShade="BF"/>
    </w:rPr>
  </w:style>
  <w:style w:type="character" w:styleId="IntenseReference">
    <w:name w:val="Intense Reference"/>
    <w:basedOn w:val="DefaultParagraphFont"/>
    <w:uiPriority w:val="32"/>
    <w:qFormat/>
    <w:rsid w:val="00B1520D"/>
    <w:rPr>
      <w:b/>
      <w:bCs/>
      <w:smallCaps/>
      <w:color w:val="0F4761" w:themeColor="accent1" w:themeShade="BF"/>
      <w:spacing w:val="5"/>
    </w:rPr>
  </w:style>
  <w:style w:type="paragraph" w:styleId="Header">
    <w:name w:val="header"/>
    <w:basedOn w:val="Normal"/>
    <w:link w:val="HeaderChar"/>
    <w:uiPriority w:val="99"/>
    <w:unhideWhenUsed/>
    <w:rsid w:val="00201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58A"/>
  </w:style>
  <w:style w:type="paragraph" w:styleId="Footer">
    <w:name w:val="footer"/>
    <w:basedOn w:val="Normal"/>
    <w:link w:val="FooterChar"/>
    <w:uiPriority w:val="99"/>
    <w:unhideWhenUsed/>
    <w:rsid w:val="00201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27209">
      <w:bodyDiv w:val="1"/>
      <w:marLeft w:val="0"/>
      <w:marRight w:val="0"/>
      <w:marTop w:val="0"/>
      <w:marBottom w:val="0"/>
      <w:divBdr>
        <w:top w:val="none" w:sz="0" w:space="0" w:color="auto"/>
        <w:left w:val="none" w:sz="0" w:space="0" w:color="auto"/>
        <w:bottom w:val="none" w:sz="0" w:space="0" w:color="auto"/>
        <w:right w:val="none" w:sz="0" w:space="0" w:color="auto"/>
      </w:divBdr>
      <w:divsChild>
        <w:div w:id="275218430">
          <w:marLeft w:val="0"/>
          <w:marRight w:val="0"/>
          <w:marTop w:val="0"/>
          <w:marBottom w:val="0"/>
          <w:divBdr>
            <w:top w:val="none" w:sz="0" w:space="0" w:color="auto"/>
            <w:left w:val="none" w:sz="0" w:space="0" w:color="auto"/>
            <w:bottom w:val="none" w:sz="0" w:space="0" w:color="auto"/>
            <w:right w:val="none" w:sz="0" w:space="0" w:color="auto"/>
          </w:divBdr>
        </w:div>
        <w:div w:id="1241527790">
          <w:marLeft w:val="0"/>
          <w:marRight w:val="0"/>
          <w:marTop w:val="0"/>
          <w:marBottom w:val="0"/>
          <w:divBdr>
            <w:top w:val="none" w:sz="0" w:space="0" w:color="auto"/>
            <w:left w:val="none" w:sz="0" w:space="0" w:color="auto"/>
            <w:bottom w:val="none" w:sz="0" w:space="0" w:color="auto"/>
            <w:right w:val="none" w:sz="0" w:space="0" w:color="auto"/>
          </w:divBdr>
        </w:div>
        <w:div w:id="1284965498">
          <w:marLeft w:val="0"/>
          <w:marRight w:val="0"/>
          <w:marTop w:val="0"/>
          <w:marBottom w:val="0"/>
          <w:divBdr>
            <w:top w:val="none" w:sz="0" w:space="0" w:color="auto"/>
            <w:left w:val="none" w:sz="0" w:space="0" w:color="auto"/>
            <w:bottom w:val="none" w:sz="0" w:space="0" w:color="auto"/>
            <w:right w:val="none" w:sz="0" w:space="0" w:color="auto"/>
          </w:divBdr>
        </w:div>
        <w:div w:id="1534150409">
          <w:marLeft w:val="0"/>
          <w:marRight w:val="0"/>
          <w:marTop w:val="0"/>
          <w:marBottom w:val="0"/>
          <w:divBdr>
            <w:top w:val="none" w:sz="0" w:space="0" w:color="auto"/>
            <w:left w:val="none" w:sz="0" w:space="0" w:color="auto"/>
            <w:bottom w:val="none" w:sz="0" w:space="0" w:color="auto"/>
            <w:right w:val="none" w:sz="0" w:space="0" w:color="auto"/>
          </w:divBdr>
        </w:div>
        <w:div w:id="1856845643">
          <w:marLeft w:val="0"/>
          <w:marRight w:val="0"/>
          <w:marTop w:val="0"/>
          <w:marBottom w:val="0"/>
          <w:divBdr>
            <w:top w:val="none" w:sz="0" w:space="0" w:color="auto"/>
            <w:left w:val="none" w:sz="0" w:space="0" w:color="auto"/>
            <w:bottom w:val="none" w:sz="0" w:space="0" w:color="auto"/>
            <w:right w:val="none" w:sz="0" w:space="0" w:color="auto"/>
          </w:divBdr>
        </w:div>
      </w:divsChild>
    </w:div>
    <w:div w:id="219439911">
      <w:bodyDiv w:val="1"/>
      <w:marLeft w:val="0"/>
      <w:marRight w:val="0"/>
      <w:marTop w:val="0"/>
      <w:marBottom w:val="0"/>
      <w:divBdr>
        <w:top w:val="none" w:sz="0" w:space="0" w:color="auto"/>
        <w:left w:val="none" w:sz="0" w:space="0" w:color="auto"/>
        <w:bottom w:val="none" w:sz="0" w:space="0" w:color="auto"/>
        <w:right w:val="none" w:sz="0" w:space="0" w:color="auto"/>
      </w:divBdr>
    </w:div>
    <w:div w:id="246697954">
      <w:bodyDiv w:val="1"/>
      <w:marLeft w:val="0"/>
      <w:marRight w:val="0"/>
      <w:marTop w:val="0"/>
      <w:marBottom w:val="0"/>
      <w:divBdr>
        <w:top w:val="none" w:sz="0" w:space="0" w:color="auto"/>
        <w:left w:val="none" w:sz="0" w:space="0" w:color="auto"/>
        <w:bottom w:val="none" w:sz="0" w:space="0" w:color="auto"/>
        <w:right w:val="none" w:sz="0" w:space="0" w:color="auto"/>
      </w:divBdr>
    </w:div>
    <w:div w:id="319700665">
      <w:bodyDiv w:val="1"/>
      <w:marLeft w:val="0"/>
      <w:marRight w:val="0"/>
      <w:marTop w:val="0"/>
      <w:marBottom w:val="0"/>
      <w:divBdr>
        <w:top w:val="none" w:sz="0" w:space="0" w:color="auto"/>
        <w:left w:val="none" w:sz="0" w:space="0" w:color="auto"/>
        <w:bottom w:val="none" w:sz="0" w:space="0" w:color="auto"/>
        <w:right w:val="none" w:sz="0" w:space="0" w:color="auto"/>
      </w:divBdr>
      <w:divsChild>
        <w:div w:id="85925395">
          <w:marLeft w:val="0"/>
          <w:marRight w:val="0"/>
          <w:marTop w:val="0"/>
          <w:marBottom w:val="0"/>
          <w:divBdr>
            <w:top w:val="none" w:sz="0" w:space="0" w:color="auto"/>
            <w:left w:val="none" w:sz="0" w:space="0" w:color="auto"/>
            <w:bottom w:val="none" w:sz="0" w:space="0" w:color="auto"/>
            <w:right w:val="none" w:sz="0" w:space="0" w:color="auto"/>
          </w:divBdr>
        </w:div>
        <w:div w:id="599721982">
          <w:marLeft w:val="0"/>
          <w:marRight w:val="0"/>
          <w:marTop w:val="0"/>
          <w:marBottom w:val="0"/>
          <w:divBdr>
            <w:top w:val="none" w:sz="0" w:space="0" w:color="auto"/>
            <w:left w:val="none" w:sz="0" w:space="0" w:color="auto"/>
            <w:bottom w:val="none" w:sz="0" w:space="0" w:color="auto"/>
            <w:right w:val="none" w:sz="0" w:space="0" w:color="auto"/>
          </w:divBdr>
        </w:div>
        <w:div w:id="1473015509">
          <w:marLeft w:val="0"/>
          <w:marRight w:val="0"/>
          <w:marTop w:val="0"/>
          <w:marBottom w:val="0"/>
          <w:divBdr>
            <w:top w:val="none" w:sz="0" w:space="0" w:color="auto"/>
            <w:left w:val="none" w:sz="0" w:space="0" w:color="auto"/>
            <w:bottom w:val="none" w:sz="0" w:space="0" w:color="auto"/>
            <w:right w:val="none" w:sz="0" w:space="0" w:color="auto"/>
          </w:divBdr>
        </w:div>
        <w:div w:id="1986352328">
          <w:marLeft w:val="0"/>
          <w:marRight w:val="0"/>
          <w:marTop w:val="0"/>
          <w:marBottom w:val="0"/>
          <w:divBdr>
            <w:top w:val="none" w:sz="0" w:space="0" w:color="auto"/>
            <w:left w:val="none" w:sz="0" w:space="0" w:color="auto"/>
            <w:bottom w:val="none" w:sz="0" w:space="0" w:color="auto"/>
            <w:right w:val="none" w:sz="0" w:space="0" w:color="auto"/>
          </w:divBdr>
        </w:div>
        <w:div w:id="2005429098">
          <w:marLeft w:val="0"/>
          <w:marRight w:val="0"/>
          <w:marTop w:val="0"/>
          <w:marBottom w:val="0"/>
          <w:divBdr>
            <w:top w:val="none" w:sz="0" w:space="0" w:color="auto"/>
            <w:left w:val="none" w:sz="0" w:space="0" w:color="auto"/>
            <w:bottom w:val="none" w:sz="0" w:space="0" w:color="auto"/>
            <w:right w:val="none" w:sz="0" w:space="0" w:color="auto"/>
          </w:divBdr>
        </w:div>
      </w:divsChild>
    </w:div>
    <w:div w:id="495153642">
      <w:bodyDiv w:val="1"/>
      <w:marLeft w:val="0"/>
      <w:marRight w:val="0"/>
      <w:marTop w:val="0"/>
      <w:marBottom w:val="0"/>
      <w:divBdr>
        <w:top w:val="none" w:sz="0" w:space="0" w:color="auto"/>
        <w:left w:val="none" w:sz="0" w:space="0" w:color="auto"/>
        <w:bottom w:val="none" w:sz="0" w:space="0" w:color="auto"/>
        <w:right w:val="none" w:sz="0" w:space="0" w:color="auto"/>
      </w:divBdr>
    </w:div>
    <w:div w:id="1247495071">
      <w:bodyDiv w:val="1"/>
      <w:marLeft w:val="0"/>
      <w:marRight w:val="0"/>
      <w:marTop w:val="0"/>
      <w:marBottom w:val="0"/>
      <w:divBdr>
        <w:top w:val="none" w:sz="0" w:space="0" w:color="auto"/>
        <w:left w:val="none" w:sz="0" w:space="0" w:color="auto"/>
        <w:bottom w:val="none" w:sz="0" w:space="0" w:color="auto"/>
        <w:right w:val="none" w:sz="0" w:space="0" w:color="auto"/>
      </w:divBdr>
    </w:div>
    <w:div w:id="2064256275">
      <w:bodyDiv w:val="1"/>
      <w:marLeft w:val="0"/>
      <w:marRight w:val="0"/>
      <w:marTop w:val="0"/>
      <w:marBottom w:val="0"/>
      <w:divBdr>
        <w:top w:val="none" w:sz="0" w:space="0" w:color="auto"/>
        <w:left w:val="none" w:sz="0" w:space="0" w:color="auto"/>
        <w:bottom w:val="none" w:sz="0" w:space="0" w:color="auto"/>
        <w:right w:val="none" w:sz="0" w:space="0" w:color="auto"/>
      </w:divBdr>
    </w:div>
    <w:div w:id="21112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dc:description/>
  <cp:lastModifiedBy>Satish  Kumar</cp:lastModifiedBy>
  <cp:revision>2</cp:revision>
  <cp:lastPrinted>2024-11-08T11:07:00Z</cp:lastPrinted>
  <dcterms:created xsi:type="dcterms:W3CDTF">2024-11-08T11:58:00Z</dcterms:created>
  <dcterms:modified xsi:type="dcterms:W3CDTF">2024-11-08T11:58:00Z</dcterms:modified>
</cp:coreProperties>
</file>