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lang w:val="en-US"/>
        </w:rPr>
      </w:pPr>
      <w:r>
        <w:rPr>
          <w:b/>
          <w:bCs/>
          <w:lang w:val="en-US"/>
        </w:rPr>
        <w:t>Thymeleaf команды</w:t>
      </w:r>
    </w:p>
    <w:p>
      <w:pPr>
        <w:pStyle w:val="Normal"/>
        <w:bidi w:val="0"/>
        <w:jc w:val="star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1. </w:t>
      </w:r>
      <w:r>
        <w:rPr>
          <w:b/>
          <w:bCs/>
          <w:lang w:val="en-US"/>
        </w:rPr>
        <w:t xml:space="preserve">th:text – </w:t>
      </w:r>
      <w:r>
        <w:rPr>
          <w:b w:val="false"/>
          <w:bCs w:val="false"/>
          <w:lang w:val="ru-RU"/>
        </w:rPr>
        <w:t>атрибут, который позволяет вставить текст.</w:t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67945</wp:posOffset>
            </wp:positionV>
            <wp:extent cx="4037330" cy="44513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n-US"/>
        </w:rPr>
        <w:br/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При обращении к ключу </w:t>
      </w:r>
      <w:r>
        <w:rPr>
          <w:b/>
          <w:bCs/>
          <w:lang w:val="en-US"/>
        </w:rPr>
        <w:t xml:space="preserve">message </w:t>
      </w:r>
      <w:r>
        <w:rPr>
          <w:b w:val="false"/>
          <w:bCs w:val="false"/>
          <w:lang w:val="ru-RU"/>
        </w:rPr>
        <w:t xml:space="preserve">с помощью такого синтаксиса </w:t>
      </w:r>
      <w:r>
        <w:rPr>
          <w:b/>
          <w:bCs/>
          <w:lang w:val="en-US"/>
        </w:rPr>
        <w:t xml:space="preserve">${} </w:t>
      </w:r>
      <w:r>
        <w:rPr>
          <w:b w:val="false"/>
          <w:bCs w:val="false"/>
          <w:lang w:val="en-US"/>
        </w:rPr>
        <w:t xml:space="preserve">Thymeleaf </w:t>
      </w:r>
      <w:r>
        <w:rPr>
          <w:b w:val="false"/>
          <w:bCs w:val="false"/>
          <w:lang w:val="ru-RU"/>
        </w:rPr>
        <w:t>увидит этот код, обратиться к моделе, получит значение по ключу и вставить значение в это пространство тега &lt;</w:t>
      </w:r>
      <w:r>
        <w:rPr>
          <w:b w:val="false"/>
          <w:bCs w:val="false"/>
          <w:lang w:val="en-US"/>
        </w:rPr>
        <w:t>p</w:t>
      </w:r>
      <w:r>
        <w:rPr>
          <w:b w:val="false"/>
          <w:bCs w:val="false"/>
          <w:lang w:val="ru-RU"/>
        </w:rPr>
        <w:t>&gt;.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b/>
          <w:bCs/>
          <w:lang w:val="en-US"/>
        </w:rPr>
        <w:t>2. th:each –</w:t>
      </w:r>
      <w:r>
        <w:rPr>
          <w:lang w:val="en-US"/>
        </w:rPr>
        <w:t xml:space="preserve"> </w:t>
      </w:r>
      <w:r>
        <w:rPr>
          <w:lang w:val="ru-RU"/>
        </w:rPr>
        <w:t>атрибут, который позволяет итерироваться по коллекциям.</w:t>
      </w:r>
    </w:p>
    <w:p>
      <w:pPr>
        <w:pStyle w:val="Normal"/>
        <w:bidi w:val="0"/>
        <w:jc w:val="start"/>
        <w:rPr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3737610" cy="62928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br/>
        <w:br/>
        <w:br/>
        <w:br/>
      </w:r>
      <w:r>
        <w:rPr>
          <w:lang w:val="en-US"/>
        </w:rPr>
        <w:t>people –</w:t>
      </w:r>
      <w:r>
        <w:rPr>
          <w:lang w:val="ru-RU"/>
        </w:rPr>
        <w:t xml:space="preserve"> название коллекции.</w:t>
        <w:br/>
      </w:r>
      <w:r>
        <w:rPr>
          <w:lang w:val="en-US"/>
        </w:rPr>
        <w:t xml:space="preserve">person 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переменная которая указывает на каждую из элементов коллекции.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th:text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вызываем геттер, который есть у класса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person.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3. th:href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–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атрибут, который позволяет указать ссылку на которую будет осуществляться переход.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090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В этом коде: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1. мы получаем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id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каждого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геттера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getId()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2.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кладем во временную переменную полученный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id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3. врменную переменную используем для формирования динамического адреса  на который будет переходить пользователь при нажатии на эту ссылку.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4. HTML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У формы есть атрибту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method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и атрибут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action.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method -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пишется тот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HTTP 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метод который будет использоваться при отправке этой формы.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атрибуте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action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пишется тот адрес на который будут отправляться данные с этой формы.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Input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–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это тег который создает поле для ввода. 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На скриншоте видно, что первое поле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текстовое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и оно имеет имя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name.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Когда мы отправляем эту форму на контроллер, в контроллере мы можем по этим названияем получить доступ к значениям каждого из полей.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У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input 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так есть другой тип ввода — это </w:t>
      </w: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submit.</w:t>
      </w:r>
    </w:p>
    <w:p>
      <w:pPr>
        <w:pStyle w:val="Normal"/>
        <w:bidi w:val="0"/>
        <w:jc w:val="start"/>
        <w:rPr/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При нажатии на эту кнопку все данные с этой формы отправляются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POST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запросом на адрес «/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people”.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Вот то тело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POST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запроса которое придет: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name=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ИМЯ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&amp;surname=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ФАМИЛИЯ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&amp;email=EMAI L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Соответственно эти параметры мы можем считать на контроллере.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/>
          <w:i/>
          <w:i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/>
          <w:bCs/>
          <w:i/>
          <w:iCs/>
          <w:color w:val="auto"/>
          <w:kern w:val="2"/>
          <w:sz w:val="24"/>
          <w:szCs w:val="24"/>
          <w:lang w:val="en-US" w:eastAsia="zh-CN" w:bidi="hi-IN"/>
        </w:rPr>
        <w:t>label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-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эта та надпись которая даёт понять пользователю, что вводить в это поле.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33020</wp:posOffset>
            </wp:positionH>
            <wp:positionV relativeFrom="paragraph">
              <wp:posOffset>32385</wp:posOffset>
            </wp:positionV>
            <wp:extent cx="4053840" cy="334073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                                                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                                                     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br/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Thymeleaf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Thymeleaf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очень похожи на просто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коде, но есть некоторые функции: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1.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HTML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формы в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принимают на вход объект для которого эта форма создана. Тоесть если мы хотим создать форму для человека мы должны в контроллере который будет отдавать шаблон с этой формы нужно в модель поместить нового пустого человека. На скришноте видно, что мы создаем новый объект класса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и помещаем его в модель под ключом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“person”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. Потом возвращаем этот шаблон в этом контроллере и в этом шаблоне мы должны получать доуступ к объекту класса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person,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тоесть к пустому человеку, к человеку у которого не назначены значения для его полей.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В шаблоне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Thymeleaf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так же есть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method, action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>и нужно указать тот объект(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th:object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) для которого эта форма предназначается. Дальше в коде мы используем те поля которые есть в классе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</w:t>
      </w:r>
      <w:r>
        <w:rPr>
          <w:rFonts w:eastAsia="NSimSun" w:cs="Arial"/>
          <w:b/>
          <w:bCs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th:field</w:t>
      </w: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start"/>
        <w:rPr>
          <w:rFonts w:ascii="Liberation Serif" w:hAnsi="Liberation Serif" w:eastAsia="NSimSun" w:cs="Arial"/>
          <w:i w:val="false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3558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rFonts w:eastAsia="NSimSun" w:cs="Arial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</w:p>
    <w:p>
      <w:pPr>
        <w:pStyle w:val="Normal"/>
        <w:bidi w:val="0"/>
        <w:jc w:val="start"/>
        <w:rPr>
          <w:lang w:val="ru-RU"/>
        </w:rPr>
      </w:pPr>
      <w:r>
        <w:rPr/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ru-RU"/>
        </w:rPr>
        <w:t>5</w:t>
      </w:r>
      <w:r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В</w:t>
      </w:r>
      <w:r>
        <w:rPr>
          <w:b/>
          <w:bCs/>
          <w:lang w:val="ru-RU"/>
        </w:rPr>
        <w:t>алидация форм.</w:t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lang w:val="en-US"/>
        </w:rPr>
        <w:t>th:if –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условный атрибут.  В конструкции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${}</w:t>
      </w:r>
      <w:r>
        <w:rPr>
          <w:b w:val="false"/>
          <w:bCs w:val="false"/>
          <w:lang w:val="en-US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указываем значение которое вернёт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истину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или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ложь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. С помощью символа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‘#’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получаем доступ к полям объекта который указан 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th:object.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метода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hasErrors()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-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проверяем если есть какие нибудь ошибки для полей которые мы указали в урагментах этого метода. </w:t>
      </w:r>
    </w:p>
    <w:p>
      <w:pPr>
        <w:pStyle w:val="Normal"/>
        <w:bidi w:val="0"/>
        <w:jc w:val="start"/>
        <w:rPr>
          <w:lang w:val="ru-RU"/>
        </w:rPr>
      </w:pPr>
      <w:r>
        <w:rPr>
          <w:b/>
          <w:bCs/>
          <w:lang w:val="en-US"/>
        </w:rPr>
        <w:t xml:space="preserve">th:errors – </w:t>
      </w:r>
      <w:r>
        <w:rPr>
          <w:b w:val="false"/>
          <w:bCs w:val="false"/>
          <w:lang w:val="ru-RU"/>
        </w:rPr>
        <w:t>выводит ошибки е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сли у поля которое находится в конструкции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ru-RU" w:eastAsia="zh-CN" w:bidi="hi-IN"/>
        </w:rPr>
        <w:t>*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{}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есть ошибки.</w:t>
      </w:r>
    </w:p>
    <w:p>
      <w:pPr>
        <w:pStyle w:val="Normal"/>
        <w:bidi w:val="0"/>
        <w:jc w:val="start"/>
        <w:rPr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63445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 этом примере мы проверяем три поля объекта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person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на наличие ошибок.</w:t>
      </w:r>
    </w:p>
    <w:p>
      <w:pPr>
        <w:pStyle w:val="Normal"/>
        <w:bidi w:val="0"/>
        <w:jc w:val="start"/>
        <w:rPr>
          <w:lang w:val="ru-RU"/>
        </w:rPr>
      </w:pP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Если в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th:if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метод </w:t>
      </w:r>
      <w:r>
        <w:rPr>
          <w:rFonts w:eastAsia="NSimSun" w:cs="Arial"/>
          <w:b w:val="false"/>
          <w:bCs w:val="false"/>
          <w:i/>
          <w:iCs/>
          <w:color w:val="auto"/>
          <w:kern w:val="2"/>
          <w:sz w:val="24"/>
          <w:szCs w:val="24"/>
          <w:lang w:val="en-US" w:eastAsia="zh-CN" w:bidi="hi-IN"/>
        </w:rPr>
        <w:t>hasErrors()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возрващает истину, то тег &lt;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div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&gt; будет отображаться на форме и в этот тег будут вставляться сообщения об ошибках которые мы указали в самом классе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Person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с помощью аннотаций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@NotEmpty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SimSun" w:cs="Arial"/>
          <w:b/>
          <w:bCs/>
          <w:color w:val="auto"/>
          <w:kern w:val="2"/>
          <w:sz w:val="24"/>
          <w:szCs w:val="24"/>
          <w:lang w:val="en-US" w:eastAsia="zh-CN" w:bidi="hi-IN"/>
        </w:rPr>
        <w:t>@Size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и пр. С помощью атрибута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th:errors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мы говорим, что именно для этого поля должна выводится ошибки.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LibreOffice/7.1.3.2$Windows_X86_64 LibreOffice_project/47f78053abe362b9384784d31a6e56f8511eb1c1</Application>
  <AppVersion>15.0000</AppVersion>
  <Pages>3</Pages>
  <Words>521</Words>
  <Characters>2845</Characters>
  <CharactersWithSpaces>3463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2024-05-23T22:52:21Z</dcterms:created>
  <dc:creator/>
  <dc:description/>
  <dc:language>ru-RU</dc:language>
  <cp:lastModifiedBy/>
  <dcterms:modified xsi:type="dcterms:W3CDTF">2024-05-27T16:28:53Z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