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EEC6" w14:textId="77777777" w:rsidR="000F17BE" w:rsidRDefault="00513168">
      <w:r>
        <w:t xml:space="preserve">1 ) </w:t>
      </w:r>
    </w:p>
    <w:p w14:paraId="68E05609" w14:textId="5383E471" w:rsidR="001D6127" w:rsidRDefault="00513168">
      <w:r>
        <w:t>a) 7 élément</w:t>
      </w:r>
      <w:r w:rsidR="000F17BE">
        <w:t>s</w:t>
      </w:r>
    </w:p>
    <w:p w14:paraId="222874D6" w14:textId="69627AD8" w:rsidR="00513168" w:rsidRDefault="00513168">
      <w:r>
        <w:t xml:space="preserve">b) </w:t>
      </w:r>
    </w:p>
    <w:p w14:paraId="2B141509" w14:textId="3988723F" w:rsidR="00513168" w:rsidRDefault="00513168">
      <w:r>
        <w:t>c) pour marquer la fin du tableau</w:t>
      </w:r>
    </w:p>
    <w:p w14:paraId="49FE6CE8" w14:textId="77777777" w:rsidR="00513168" w:rsidRDefault="00513168">
      <w:r>
        <w:t xml:space="preserve">d) </w:t>
      </w:r>
    </w:p>
    <w:p w14:paraId="4CF9524B" w14:textId="77777777" w:rsidR="00513168" w:rsidRPr="00513168" w:rsidRDefault="00513168" w:rsidP="00513168">
      <w:r w:rsidRPr="00513168">
        <w:t>Voici un tableau formaté que tu peux copier-coller directement dans Word.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2"/>
        <w:gridCol w:w="5055"/>
        <w:gridCol w:w="2405"/>
      </w:tblGrid>
      <w:tr w:rsidR="00513168" w:rsidRPr="00513168" w14:paraId="247A294F" w14:textId="77777777" w:rsidTr="00695FFB">
        <w:tc>
          <w:tcPr>
            <w:tcW w:w="0" w:type="auto"/>
            <w:hideMark/>
          </w:tcPr>
          <w:p w14:paraId="13D6D852" w14:textId="77777777" w:rsidR="00513168" w:rsidRPr="00513168" w:rsidRDefault="00513168" w:rsidP="00513168">
            <w:pPr>
              <w:spacing w:after="160" w:line="278" w:lineRule="auto"/>
              <w:rPr>
                <w:b/>
                <w:bCs/>
              </w:rPr>
            </w:pPr>
            <w:r w:rsidRPr="00513168">
              <w:rPr>
                <w:b/>
                <w:bCs/>
              </w:rPr>
              <w:t>Expression</w:t>
            </w:r>
          </w:p>
        </w:tc>
        <w:tc>
          <w:tcPr>
            <w:tcW w:w="0" w:type="auto"/>
            <w:hideMark/>
          </w:tcPr>
          <w:p w14:paraId="343589CC" w14:textId="77777777" w:rsidR="00513168" w:rsidRPr="00513168" w:rsidRDefault="00513168" w:rsidP="00513168">
            <w:pPr>
              <w:spacing w:after="160" w:line="278" w:lineRule="auto"/>
              <w:rPr>
                <w:b/>
                <w:bCs/>
              </w:rPr>
            </w:pPr>
            <w:r w:rsidRPr="00513168">
              <w:rPr>
                <w:b/>
                <w:bCs/>
              </w:rPr>
              <w:t>Explication</w:t>
            </w:r>
          </w:p>
        </w:tc>
        <w:tc>
          <w:tcPr>
            <w:tcW w:w="0" w:type="auto"/>
            <w:hideMark/>
          </w:tcPr>
          <w:p w14:paraId="04F41FF2" w14:textId="77777777" w:rsidR="00513168" w:rsidRPr="00513168" w:rsidRDefault="00513168" w:rsidP="00513168">
            <w:pPr>
              <w:spacing w:after="160" w:line="278" w:lineRule="auto"/>
              <w:rPr>
                <w:b/>
                <w:bCs/>
              </w:rPr>
            </w:pPr>
            <w:r w:rsidRPr="00513168">
              <w:rPr>
                <w:b/>
                <w:bCs/>
              </w:rPr>
              <w:t>Valeur / Résultat</w:t>
            </w:r>
          </w:p>
        </w:tc>
      </w:tr>
      <w:tr w:rsidR="00513168" w:rsidRPr="00513168" w14:paraId="0CDF4615" w14:textId="77777777" w:rsidTr="00695FFB">
        <w:tc>
          <w:tcPr>
            <w:tcW w:w="0" w:type="auto"/>
            <w:hideMark/>
          </w:tcPr>
          <w:p w14:paraId="7D8F7D7C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couleur[0][0]</w:t>
            </w:r>
          </w:p>
        </w:tc>
        <w:tc>
          <w:tcPr>
            <w:tcW w:w="0" w:type="auto"/>
            <w:hideMark/>
          </w:tcPr>
          <w:p w14:paraId="04CDEA52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Premier caractère de "rouge"</w:t>
            </w:r>
          </w:p>
        </w:tc>
        <w:tc>
          <w:tcPr>
            <w:tcW w:w="0" w:type="auto"/>
            <w:hideMark/>
          </w:tcPr>
          <w:p w14:paraId="6AA31165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'r'</w:t>
            </w:r>
          </w:p>
        </w:tc>
      </w:tr>
      <w:tr w:rsidR="00513168" w:rsidRPr="00513168" w14:paraId="7EA13621" w14:textId="77777777" w:rsidTr="00695FFB">
        <w:tc>
          <w:tcPr>
            <w:tcW w:w="0" w:type="auto"/>
            <w:hideMark/>
          </w:tcPr>
          <w:p w14:paraId="6C9046CD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couleur[0][1]</w:t>
            </w:r>
          </w:p>
        </w:tc>
        <w:tc>
          <w:tcPr>
            <w:tcW w:w="0" w:type="auto"/>
            <w:hideMark/>
          </w:tcPr>
          <w:p w14:paraId="75F928FF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Deuxième caractère de "rouge"</w:t>
            </w:r>
          </w:p>
        </w:tc>
        <w:tc>
          <w:tcPr>
            <w:tcW w:w="0" w:type="auto"/>
            <w:hideMark/>
          </w:tcPr>
          <w:p w14:paraId="72A6A8A8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'o'</w:t>
            </w:r>
          </w:p>
        </w:tc>
      </w:tr>
      <w:tr w:rsidR="00513168" w:rsidRPr="00513168" w14:paraId="04F8BB35" w14:textId="77777777" w:rsidTr="00695FFB">
        <w:tc>
          <w:tcPr>
            <w:tcW w:w="0" w:type="auto"/>
            <w:hideMark/>
          </w:tcPr>
          <w:p w14:paraId="09A68EFF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couleur[1][0]</w:t>
            </w:r>
          </w:p>
        </w:tc>
        <w:tc>
          <w:tcPr>
            <w:tcW w:w="0" w:type="auto"/>
            <w:hideMark/>
          </w:tcPr>
          <w:p w14:paraId="55C87B9E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Premier caractère de "vert"</w:t>
            </w:r>
          </w:p>
        </w:tc>
        <w:tc>
          <w:tcPr>
            <w:tcW w:w="0" w:type="auto"/>
            <w:hideMark/>
          </w:tcPr>
          <w:p w14:paraId="073B31F8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'v'</w:t>
            </w:r>
          </w:p>
        </w:tc>
      </w:tr>
      <w:tr w:rsidR="00513168" w:rsidRPr="00513168" w14:paraId="46B311CF" w14:textId="77777777" w:rsidTr="00695FFB">
        <w:tc>
          <w:tcPr>
            <w:tcW w:w="0" w:type="auto"/>
            <w:hideMark/>
          </w:tcPr>
          <w:p w14:paraId="55329800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couleur[0]</w:t>
            </w:r>
          </w:p>
        </w:tc>
        <w:tc>
          <w:tcPr>
            <w:tcW w:w="0" w:type="auto"/>
            <w:hideMark/>
          </w:tcPr>
          <w:p w14:paraId="10FE173D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Adresse du premier caractère de "rouge"</w:t>
            </w:r>
          </w:p>
        </w:tc>
        <w:tc>
          <w:tcPr>
            <w:tcW w:w="0" w:type="auto"/>
            <w:hideMark/>
          </w:tcPr>
          <w:p w14:paraId="7ECE2D76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Pointeur vers "rouge"</w:t>
            </w:r>
          </w:p>
        </w:tc>
      </w:tr>
      <w:tr w:rsidR="00513168" w:rsidRPr="00513168" w14:paraId="7CF6D190" w14:textId="77777777" w:rsidTr="00695FFB">
        <w:tc>
          <w:tcPr>
            <w:tcW w:w="0" w:type="auto"/>
            <w:hideMark/>
          </w:tcPr>
          <w:p w14:paraId="5EBF1B79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couleur[1]</w:t>
            </w:r>
          </w:p>
        </w:tc>
        <w:tc>
          <w:tcPr>
            <w:tcW w:w="0" w:type="auto"/>
            <w:hideMark/>
          </w:tcPr>
          <w:p w14:paraId="648DD2A9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Adresse du premier caractère de "vert"</w:t>
            </w:r>
          </w:p>
        </w:tc>
        <w:tc>
          <w:tcPr>
            <w:tcW w:w="0" w:type="auto"/>
            <w:hideMark/>
          </w:tcPr>
          <w:p w14:paraId="2FD79834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Pointeur vers "vert"</w:t>
            </w:r>
          </w:p>
        </w:tc>
      </w:tr>
      <w:tr w:rsidR="00513168" w:rsidRPr="00513168" w14:paraId="0836D048" w14:textId="77777777" w:rsidTr="00695FFB">
        <w:tc>
          <w:tcPr>
            <w:tcW w:w="0" w:type="auto"/>
            <w:hideMark/>
          </w:tcPr>
          <w:p w14:paraId="23D276E1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</w:t>
            </w:r>
          </w:p>
        </w:tc>
        <w:tc>
          <w:tcPr>
            <w:tcW w:w="0" w:type="auto"/>
            <w:hideMark/>
          </w:tcPr>
          <w:p w14:paraId="5C274910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Adresse du premier élément du tableau (couleur[0])</w:t>
            </w:r>
          </w:p>
        </w:tc>
        <w:tc>
          <w:tcPr>
            <w:tcW w:w="0" w:type="auto"/>
            <w:hideMark/>
          </w:tcPr>
          <w:p w14:paraId="6A2AD4E9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Pointeur vers couleur[0]</w:t>
            </w:r>
          </w:p>
        </w:tc>
      </w:tr>
      <w:tr w:rsidR="00513168" w:rsidRPr="00513168" w14:paraId="7E8F5E4E" w14:textId="77777777" w:rsidTr="00695FFB">
        <w:tc>
          <w:tcPr>
            <w:tcW w:w="0" w:type="auto"/>
            <w:hideMark/>
          </w:tcPr>
          <w:p w14:paraId="39E10145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couleur + 1</w:t>
            </w:r>
          </w:p>
        </w:tc>
        <w:tc>
          <w:tcPr>
            <w:tcW w:w="0" w:type="auto"/>
            <w:hideMark/>
          </w:tcPr>
          <w:p w14:paraId="07FA86DE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Adresse du deuxième élément (couleur[1])</w:t>
            </w:r>
          </w:p>
        </w:tc>
        <w:tc>
          <w:tcPr>
            <w:tcW w:w="0" w:type="auto"/>
            <w:hideMark/>
          </w:tcPr>
          <w:p w14:paraId="31149B1C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Pointeur vers "vert"</w:t>
            </w:r>
          </w:p>
        </w:tc>
      </w:tr>
      <w:tr w:rsidR="00513168" w:rsidRPr="00513168" w14:paraId="4B0DA950" w14:textId="77777777" w:rsidTr="00695FFB">
        <w:tc>
          <w:tcPr>
            <w:tcW w:w="0" w:type="auto"/>
            <w:hideMark/>
          </w:tcPr>
          <w:p w14:paraId="5D21CE12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*couleur[0]</w:t>
            </w:r>
          </w:p>
        </w:tc>
        <w:tc>
          <w:tcPr>
            <w:tcW w:w="0" w:type="auto"/>
            <w:hideMark/>
          </w:tcPr>
          <w:p w14:paraId="74EB6C91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Déférencement du premier caractère de "rouge"</w:t>
            </w:r>
          </w:p>
        </w:tc>
        <w:tc>
          <w:tcPr>
            <w:tcW w:w="0" w:type="auto"/>
            <w:hideMark/>
          </w:tcPr>
          <w:p w14:paraId="06B0E353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'r'</w:t>
            </w:r>
          </w:p>
        </w:tc>
      </w:tr>
      <w:tr w:rsidR="00513168" w:rsidRPr="00513168" w14:paraId="2F6B3777" w14:textId="77777777" w:rsidTr="00695FFB">
        <w:tc>
          <w:tcPr>
            <w:tcW w:w="0" w:type="auto"/>
            <w:hideMark/>
          </w:tcPr>
          <w:p w14:paraId="66254ACF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*couleur[1]</w:t>
            </w:r>
          </w:p>
        </w:tc>
        <w:tc>
          <w:tcPr>
            <w:tcW w:w="0" w:type="auto"/>
            <w:hideMark/>
          </w:tcPr>
          <w:p w14:paraId="3FB3E4DB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Déférencement du premier caractère de "vert"</w:t>
            </w:r>
          </w:p>
        </w:tc>
        <w:tc>
          <w:tcPr>
            <w:tcW w:w="0" w:type="auto"/>
            <w:hideMark/>
          </w:tcPr>
          <w:p w14:paraId="735F707C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'v'</w:t>
            </w:r>
          </w:p>
        </w:tc>
      </w:tr>
      <w:tr w:rsidR="00513168" w:rsidRPr="00513168" w14:paraId="07761C56" w14:textId="77777777" w:rsidTr="00695FFB">
        <w:tc>
          <w:tcPr>
            <w:tcW w:w="0" w:type="auto"/>
            <w:hideMark/>
          </w:tcPr>
          <w:p w14:paraId="3F3B91CB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*(couleur + 1)</w:t>
            </w:r>
          </w:p>
        </w:tc>
        <w:tc>
          <w:tcPr>
            <w:tcW w:w="0" w:type="auto"/>
            <w:hideMark/>
          </w:tcPr>
          <w:p w14:paraId="6B54F01C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Équivaut à couleur[1] (adresse de "vert")</w:t>
            </w:r>
          </w:p>
        </w:tc>
        <w:tc>
          <w:tcPr>
            <w:tcW w:w="0" w:type="auto"/>
            <w:hideMark/>
          </w:tcPr>
          <w:p w14:paraId="348C5A6F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Pointeur vers "vert"</w:t>
            </w:r>
          </w:p>
        </w:tc>
      </w:tr>
      <w:tr w:rsidR="00513168" w:rsidRPr="00513168" w14:paraId="651AAB2A" w14:textId="77777777" w:rsidTr="00695FFB">
        <w:tc>
          <w:tcPr>
            <w:tcW w:w="0" w:type="auto"/>
            <w:hideMark/>
          </w:tcPr>
          <w:p w14:paraId="5929B1B5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**couleur</w:t>
            </w:r>
          </w:p>
        </w:tc>
        <w:tc>
          <w:tcPr>
            <w:tcW w:w="0" w:type="auto"/>
            <w:hideMark/>
          </w:tcPr>
          <w:p w14:paraId="2F935BE0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Équivaut à couleur[0][0] (premier caractère de "rouge")</w:t>
            </w:r>
          </w:p>
        </w:tc>
        <w:tc>
          <w:tcPr>
            <w:tcW w:w="0" w:type="auto"/>
            <w:hideMark/>
          </w:tcPr>
          <w:p w14:paraId="4338622A" w14:textId="77777777" w:rsidR="00513168" w:rsidRPr="00513168" w:rsidRDefault="00513168" w:rsidP="00513168">
            <w:pPr>
              <w:spacing w:after="160" w:line="278" w:lineRule="auto"/>
            </w:pPr>
            <w:r w:rsidRPr="00513168">
              <w:t>'r'</w:t>
            </w:r>
          </w:p>
        </w:tc>
      </w:tr>
    </w:tbl>
    <w:p w14:paraId="3E5ECCB0" w14:textId="6866C773" w:rsidR="00513168" w:rsidRDefault="00513168"/>
    <w:sectPr w:rsidR="005131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27"/>
    <w:rsid w:val="000F17BE"/>
    <w:rsid w:val="001D6127"/>
    <w:rsid w:val="00513168"/>
    <w:rsid w:val="00695FFB"/>
    <w:rsid w:val="00784941"/>
    <w:rsid w:val="007C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FFEB3"/>
  <w15:chartTrackingRefBased/>
  <w15:docId w15:val="{1C5F0D6B-BD71-4B58-B438-16F356EA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61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61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61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61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61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61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61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61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61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61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612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13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5131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3</cp:revision>
  <dcterms:created xsi:type="dcterms:W3CDTF">2025-02-18T11:42:00Z</dcterms:created>
  <dcterms:modified xsi:type="dcterms:W3CDTF">2025-02-18T12:04:00Z</dcterms:modified>
</cp:coreProperties>
</file>