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Calibri"/>
          <w:b/>
          <w:color w:val="000000"/>
          <w:sz w:val="46"/>
        </w:rPr>
        <w:t>ПРОЕКТНОЕ РЕШЕНИЕ</w:t>
      </w:r>
    </w:p>
    <w:p>
      <w:pPr>
        <w:spacing w:after="280"/>
      </w:pPr>
      <w:r>
        <w:rPr>
          <w:rFonts w:ascii="Calibri" w:hAnsi="Calibri" w:eastAsia="Calibri"/>
          <w:color w:val="5F6B76"/>
          <w:sz w:val="28"/>
        </w:rPr>
        <w:t>HELOU-AVT. Инфраструктурная топология</w:t>
      </w:r>
    </w:p>
    <w:p>
      <w:pPr>
        <w:spacing w:after="40" w:line="240" w:lineRule="auto"/>
      </w:pPr>
      <w:r>
        <w:rPr>
          <w:rFonts w:ascii="Calibri" w:hAnsi="Calibri" w:eastAsia="Calibri"/>
          <w:b/>
          <w:sz w:val="21"/>
        </w:rPr>
        <w:t xml:space="preserve">Статус: </w:t>
      </w:r>
      <w:r>
        <w:rPr>
          <w:rFonts w:ascii="Calibri" w:hAnsi="Calibri" w:eastAsia="Calibri"/>
          <w:sz w:val="21"/>
        </w:rPr>
        <w:t>Для согласования с инфраструктурными подразделениями заказчика</w:t>
      </w:r>
    </w:p>
    <w:p>
      <w:pPr>
        <w:spacing w:after="40" w:line="240" w:lineRule="auto"/>
      </w:pPr>
      <w:r>
        <w:rPr>
          <w:rFonts w:ascii="Calibri" w:hAnsi="Calibri" w:eastAsia="Calibri"/>
          <w:b/>
          <w:sz w:val="21"/>
        </w:rPr>
        <w:t xml:space="preserve">Этап: </w:t>
      </w:r>
      <w:r>
        <w:rPr>
          <w:rFonts w:ascii="Calibri" w:hAnsi="Calibri" w:eastAsia="Calibri"/>
          <w:sz w:val="21"/>
        </w:rPr>
        <w:t>MVP с переходом к промышленному HA-контуру</w:t>
      </w:r>
    </w:p>
    <w:p>
      <w:pPr>
        <w:spacing w:after="40" w:line="240" w:lineRule="auto"/>
      </w:pPr>
      <w:r>
        <w:rPr>
          <w:rFonts w:ascii="Calibri" w:hAnsi="Calibri" w:eastAsia="Calibri"/>
          <w:b/>
          <w:sz w:val="21"/>
        </w:rPr>
        <w:t xml:space="preserve">Область: </w:t>
      </w:r>
      <w:r>
        <w:rPr>
          <w:rFonts w:ascii="Calibri" w:hAnsi="Calibri" w:eastAsia="Calibri"/>
          <w:sz w:val="21"/>
        </w:rPr>
        <w:t>ВМ, сеть, хранение, кластеризация, monitoring, SIEM и backup</w:t>
      </w:r>
    </w:p>
    <w:p>
      <w:pPr>
        <w:spacing w:after="40" w:line="240" w:lineRule="auto"/>
      </w:pPr>
      <w:r>
        <w:rPr>
          <w:rFonts w:ascii="Calibri" w:hAnsi="Calibri" w:eastAsia="Calibri"/>
          <w:b/>
          <w:sz w:val="21"/>
        </w:rPr>
        <w:t xml:space="preserve">Дата: </w:t>
      </w:r>
      <w:r>
        <w:rPr>
          <w:rFonts w:ascii="Calibri" w:hAnsi="Calibri" w:eastAsia="Calibri"/>
          <w:sz w:val="21"/>
        </w:rPr>
        <w:t>11.08.2026</w:t>
      </w:r>
    </w:p>
    <w:p>
      <w:pPr>
        <w:spacing w:after="160"/>
      </w:pP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Это схема размещения тренажерного комплекса в инфраструктуре крупного заказчика. Она не заменяет его VDI, каталог, СХД, firewall, мониторинг или backup. Комплекс использует уже существующие сервисы заказчика.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Схема: helou_avt_enterprise_topology.drawio (diagrams/helou_avt_enterprise_topology.drawio).</w:t>
      </w:r>
    </w:p>
    <w:p>
      <w:pPr>
        <w:pStyle w:val="Heading1"/>
      </w:pPr>
      <w:r>
        <w:t>1. Как объяснить решение за минуту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Пользователь работает в корпоративном VDI.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Из VDI он открывает один защищенный адрес тренажера.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Шлюз направляет запрос на один из серверов приложения.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Приложение хранит результаты и телеметрию в отдельном кластере данных.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ИИ работает в изолированной сети. Он дает подсказки, но не управляет технологическим процессом.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Если один сервер выходит из строя, его работу берет на себя другой. Если теряется весь контур, данные восстанавливаются из корпоративной резервной копии.</w:t>
      </w:r>
    </w:p>
    <w:p>
      <w:pPr>
        <w:pStyle w:val="Heading1"/>
      </w:pPr>
      <w:r>
        <w:t>2. Кто за что отвечает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Заказчик</w:t>
            </w:r>
          </w:p>
        </w:tc>
        <w:tc>
          <w:tcPr>
            <w:tcW w:type="dxa" w:w="468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Команда HELOU-AVT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Виртуализация, VDI, ALD Pro, DNS, NTP, PKI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Гостевые ОС и конфигурация ВМ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Firewall, маршрутизация, СХД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Nginx, FastAPI, Worker и AI-сервисы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Monitoring, SIEM, backup, bastion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PostgreSQL, RabbitMQ, Valkey, ClickHouse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Резервирование базовых корпоративных сервисов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Кластеризация, журналы, экспортеры и native backup СУБД</w:t>
            </w:r>
          </w:p>
        </w:tc>
      </w:tr>
    </w:tbl>
    <w:p>
      <w:pPr>
        <w:spacing w:after="0" w:line="240" w:lineRule="auto"/>
      </w:pP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Если недоступны VDI, ALD Pro, DNS, корпоративный firewall или СХД, причина находится в корпоративной зоне. Эти сервисы должны иметь согласованный с заказчиком SLA.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/>
        <w:spacing w:after="100"/>
        <w:jc w:val="center"/>
      </w:pPr>
      <w:r>
        <w:rPr>
          <w:rFonts w:ascii="Calibri" w:hAnsi="Calibri" w:eastAsia="Calibri"/>
          <w:b/>
          <w:color w:val="1F4D78"/>
          <w:sz w:val="24"/>
        </w:rPr>
        <w:t>Рисунок 1. Целевая инфраструктурная топология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098280" cy="4218293"/>
            <wp:docPr id="1" name="Picture 1" descr="Сетевая топология HELOU-AVT: корпоративные сервисы заказчика, DMZ, APP, DATA, AI и MGMT-сегмент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ou_avt_topology_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421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>
      <w:pPr>
        <w:pStyle w:val="Heading1"/>
      </w:pPr>
      <w:r>
        <w:t>3. Как читать схему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Блок</w:t>
            </w:r>
          </w:p>
        </w:tc>
        <w:tc>
          <w:tcPr>
            <w:tcW w:type="dxa" w:w="312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Простое значение</w:t>
            </w:r>
          </w:p>
        </w:tc>
        <w:tc>
          <w:tcPr>
            <w:tcW w:type="dxa" w:w="312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Что внутри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Корпоративные сервисы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Среда, которую дает заказчик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VDI, каталог пользователей, СХД, monitoring, SIEM, backup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Шлюз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Единственная входная точка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Два Nginx и один общий виртуальный адрес (VIP)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Приложение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Серверы тренажера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FastAPI и Worker-узлы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Данные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Место хранения и обмена данными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PostgreSQL, RabbitMQ, ClickHouse, Valkey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ИИ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Локальные модели и GPU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Qwen 2.5 и vLLM</w:t>
            </w:r>
          </w:p>
        </w:tc>
      </w:tr>
    </w:tbl>
    <w:p>
      <w:pPr>
        <w:spacing w:after="0" w:line="240" w:lineRule="auto"/>
      </w:pP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Пользователь не видит базы данных и GPU-серверы. К ним обращается только приложение по разрешенным правилам firewall.</w:t>
      </w:r>
    </w:p>
    <w:p>
      <w:pPr>
        <w:pStyle w:val="Heading1"/>
      </w:pPr>
      <w:r>
        <w:t>4. Отказоустойчивость без лишних деталей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Что резервируем</w:t>
            </w:r>
          </w:p>
        </w:tc>
        <w:tc>
          <w:tcPr>
            <w:tcW w:type="dxa" w:w="312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Как</w:t>
            </w:r>
          </w:p>
        </w:tc>
        <w:tc>
          <w:tcPr>
            <w:tcW w:type="dxa" w:w="312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Что это дает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Вход в систему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 Nginx + VIP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При отказе одного шлюза адрес тренажера остается доступен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Серверы приложения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2+ FastAPI ВМ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Пользователи продолжают работать при отказе одной ВМ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PostgreSQL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3 узла Patroni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Другая копия БД становится основной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RabbitMQ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3 узла, quorum queues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Подтвержденные сообщения не теряются при отказе одного узла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ClickHouse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 копии данных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Телеметрия сохраняется при отказе одной копии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ИИ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2+ GPU-узла</w:t>
            </w:r>
          </w:p>
        </w:tc>
        <w:tc>
          <w:tcPr>
            <w:tcW w:type="dxa" w:w="312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Подсказки продолжают работать при отказе одного GPU-узла</w:t>
            </w:r>
          </w:p>
        </w:tc>
      </w:tr>
    </w:tbl>
    <w:p>
      <w:pPr>
        <w:spacing w:after="0" w:line="240" w:lineRule="auto"/>
      </w:pP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Три узла нужны там, где кластер должен выбрать один правильный узел. Решение принимает большинство: два из трех. Это защищает от ситуации, когда два сервера одновременно считают себя основными.</w:t>
      </w:r>
    </w:p>
    <w:p>
      <w:pPr>
        <w:pStyle w:val="Heading1"/>
      </w:pPr>
      <w:r>
        <w:t>5. Сеть и защита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В контуре пять сетевых зон: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Корпоративная сеть - VDI, ALD Pro, СХД и сервисы эксплуатации.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DMZ - только шлюзы Nginx.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APP - серверы приложения и Worker-узлы.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DATA - базы данных и брокер сообщений.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AI - GPU-серверы с моделью.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Основные правила: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Calibri"/>
          <w:color w:val="1F2937"/>
          <w:sz w:val="22"/>
        </w:rPr>
        <w:t>пользовательский доступ разрешен только в DMZ по HTTPS/WSS;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Calibri"/>
          <w:color w:val="1F2937"/>
          <w:sz w:val="22"/>
        </w:rPr>
        <w:t>DMZ может обращаться только к серверам приложения;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Calibri"/>
          <w:color w:val="1F2937"/>
          <w:sz w:val="22"/>
        </w:rPr>
        <w:t>приложение может обращаться к данным и к ИИ;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Calibri"/>
          <w:color w:val="1F2937"/>
          <w:sz w:val="22"/>
        </w:rPr>
        <w:t>прямой доступ пользователя, DMZ и ИИ к базам данных запрещен;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Calibri"/>
          <w:color w:val="1F2937"/>
          <w:sz w:val="22"/>
        </w:rPr>
        <w:t>DATA и AI не имеют выхода в Интернет;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Calibri"/>
          <w:color w:val="1F2937"/>
          <w:sz w:val="22"/>
        </w:rPr>
        <w:t>администрирование идет только через корпоративный bastion;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Calibri"/>
          <w:color w:val="1F2937"/>
          <w:sz w:val="22"/>
        </w:rPr>
        <w:t>все журналы уходят в SIEM, резервные копии - в систему backup заказчика.</w:t>
      </w:r>
    </w:p>
    <w:p>
      <w:pPr>
        <w:pStyle w:val="Heading1"/>
      </w:pPr>
      <w:r>
        <w:t>6. MVP и дальнейшее развитие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200"/>
        <w:gridCol w:w="4660"/>
      </w:tblGrid>
      <w:tr>
        <w:trPr>
          <w:tblHeader w:val="true"/>
          <w:cantSplit/>
        </w:trPr>
        <w:tc>
          <w:tcPr>
            <w:tcW w:type="dxa" w:w="250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Компонент</w:t>
            </w:r>
          </w:p>
        </w:tc>
        <w:tc>
          <w:tcPr>
            <w:tcW w:type="dxa" w:w="220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MVP</w:t>
            </w:r>
          </w:p>
        </w:tc>
        <w:tc>
          <w:tcPr>
            <w:tcW w:type="dxa" w:w="466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Целевой контур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Шлюз</w:t>
            </w:r>
          </w:p>
        </w:tc>
        <w:tc>
          <w:tcPr>
            <w:tcW w:type="dxa" w:w="22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1 Nginx</w:t>
            </w:r>
          </w:p>
        </w:tc>
        <w:tc>
          <w:tcPr>
            <w:tcW w:type="dxa" w:w="466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 Nginx + VIP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Приложение</w:t>
            </w:r>
          </w:p>
        </w:tc>
        <w:tc>
          <w:tcPr>
            <w:tcW w:type="dxa" w:w="22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 ВМ</w:t>
            </w:r>
          </w:p>
        </w:tc>
        <w:tc>
          <w:tcPr>
            <w:tcW w:type="dxa" w:w="466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2+ ВМ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PostgreSQL</w:t>
            </w:r>
          </w:p>
        </w:tc>
        <w:tc>
          <w:tcPr>
            <w:tcW w:type="dxa" w:w="22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1 ВМ + backup</w:t>
            </w:r>
          </w:p>
        </w:tc>
        <w:tc>
          <w:tcPr>
            <w:tcW w:type="dxa" w:w="466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3 узла Patroni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RabbitMQ и ClickHouse</w:t>
            </w:r>
          </w:p>
        </w:tc>
        <w:tc>
          <w:tcPr>
            <w:tcW w:type="dxa" w:w="22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По 1 ВМ</w:t>
            </w:r>
          </w:p>
        </w:tc>
        <w:tc>
          <w:tcPr>
            <w:tcW w:type="dxa" w:w="466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Кластеры с репликацией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ИИ</w:t>
            </w:r>
          </w:p>
        </w:tc>
        <w:tc>
          <w:tcPr>
            <w:tcW w:type="dxa" w:w="220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1 GPU-узел</w:t>
            </w:r>
          </w:p>
        </w:tc>
        <w:tc>
          <w:tcPr>
            <w:tcW w:type="dxa" w:w="466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2+ GPU-узла</w:t>
            </w:r>
          </w:p>
        </w:tc>
      </w:tr>
    </w:tbl>
    <w:p>
      <w:pPr>
        <w:spacing w:after="0" w:line="240" w:lineRule="auto"/>
      </w:pP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MVP не называется отказоустойчивым. Для него сразу выделяются нужные сети, адреса, DNS-имена и отдельные диски. Поэтому переход к HA не требует менять общую схему.</w:t>
      </w:r>
    </w:p>
    <w:p>
      <w:pPr>
        <w:pStyle w:val="Heading1"/>
      </w:pPr>
      <w:r>
        <w:t>7. Термины, которые достаточно знать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Термин</w:t>
            </w:r>
          </w:p>
        </w:tc>
        <w:tc>
          <w:tcPr>
            <w:tcW w:type="dxa" w:w="468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Объяснение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VIP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Один адрес сервиса. При отказе он переезжает на резервный шлюз.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HA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Сервис продолжает работать при отказе части серверов.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Patroni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Средство, которое автоматически переключает PostgreSQL на резервную копию.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Quorum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Большинство узлов кластера. Для трех узлов это два.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Реплика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Вторая копия данных на другом сервере.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DMZ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Отдельная сеть для входных серверов. Она не дает прямой доступ к данным.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t>8. Вопросы на защите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Почему нельзя открыть БД пользователю напрямую?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Потому что пользователь работает только с интерфейсом тренажера. База данных остается в закрытом сегменте, а доступ к ней есть только у приложения.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Почему не один сервер?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Один сервер - это точка отказа. Два и более сервера позволяют продолжить работу при отказе одного из них.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Почему ИИ изолирован?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Модель и GPU не должны иметь доступ к корпоративной сети, базам данных и Интернету. Приложение передает в ИИ только нужный запрос через firewall.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Кто делает backup?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PostgreSQL и ClickHouse создают согласованные резервные копии своими средствами. Корпоративная система backup хранит эти копии. Восстановление проверяется регулярно.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Почему Valkey, а не новые версии Redis?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Valkey имеет лицензию BSD-3-Clause. Он подходит под требование использования permissive Open Source.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Что случится, если перестанет работать VDI или ALD Pro?</w:t>
      </w: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Пользователи не смогут войти в тренажер. Это зависимость от корпоративной инфраструктуры заказчика, поэтому ее отказоустойчивость и SLA фиксируются отдельно.</w:t>
      </w:r>
    </w:p>
    <w:p>
      <w:pPr>
        <w:pStyle w:val="Heading1"/>
      </w:pPr>
      <w:r>
        <w:t>9. Что проверить до ввода в эксплуатацию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Пользователь видит только веб-адрес тренажера и не имеет маршрутов к DATA и AI.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При остановке одного Nginx, FastAPI, PostgreSQL, RabbitMQ и GPU-узла сервис остается доступен.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Журналы доходят до SIEM, метрики видны в корпоративном monitoring.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Выполнено восстановление PostgreSQL и ClickHouse из резервной копии.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Calibri"/>
          <w:color w:val="1F2937"/>
          <w:sz w:val="22"/>
        </w:rPr>
        <w:t>Подтверждено размещение копий кластеров на разных гипервизорах.</w:t>
      </w:r>
    </w:p>
    <w:p>
      <w:pPr>
        <w:pStyle w:val="Heading1"/>
      </w:pPr>
      <w:r>
        <w:t>10. Лицензионный состав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Компонент</w:t>
            </w:r>
          </w:p>
        </w:tc>
        <w:tc>
          <w:tcPr>
            <w:tcW w:type="dxa" w:w="4680"/>
            <w:shd w:fill="E8EEF5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Лицензия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Nginx, FastAPI, Patroni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BSD-2-Clause / MIT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PostgreSQL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PostgreSQL License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etcd, ClickHouse, vLLM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Apache-2.0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Valkey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BSD-3-Clause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RabbitMQ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MPL-2.0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Keepalived, HAProxy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GPL-2.0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  <w:t>Qwen 2.5 7B/14B/32B</w:t>
            </w:r>
          </w:p>
        </w:tc>
        <w:tc>
          <w:tcPr>
            <w:tcW w:type="dxa" w:w="4680"/>
            <w:tcBorders>
              <w:top w:val="single" w:sz="4" w:color="AAB4BE"/>
              <w:left w:val="single" w:sz="4" w:color="AAB4BE"/>
              <w:bottom w:val="single" w:sz="4" w:color="AAB4BE"/>
              <w:right w:val="single" w:sz="4" w:color="AAB4BE"/>
              <w:insideH w:val="single" w:sz="4" w:color="AAB4BE"/>
              <w:insideV w:val="single" w:sz="4" w:color="AAB4B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Apache-2.0</w:t>
            </w:r>
          </w:p>
        </w:tc>
      </w:tr>
    </w:tbl>
    <w:p>
      <w:pPr>
        <w:spacing w:after="0" w:line="240" w:lineRule="auto"/>
      </w:pPr>
    </w:p>
    <w:p>
      <w:pPr>
        <w:spacing w:after="120" w:line="300" w:lineRule="auto"/>
      </w:pPr>
      <w:r>
        <w:rPr>
          <w:rFonts w:ascii="Calibri" w:hAnsi="Calibri" w:eastAsia="Calibri"/>
          <w:color w:val="1F2937"/>
          <w:sz w:val="22"/>
        </w:rPr>
        <w:t>Версии и лицензии фиксируются в SBOM перед поставкой. Для Qwen 2.5 используются только модели с подтвержденной Apache-2.0 лицензией.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F6B76"/>
        <w:sz w:val="18"/>
      </w:rPr>
      <w:t xml:space="preserve">Стр. </w:t>
    </w:r>
    <w:fldSimple w:instr="PAGE">
      <w:r>
        <w:rPr>
          <w:color w:val="5F6B76"/>
          <w:sz w:val="18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F6B76"/>
        <w:sz w:val="18"/>
      </w:rPr>
      <w:t xml:space="preserve">Стр. </w:t>
    </w:r>
    <w:fldSimple w:instr="PAGE">
      <w:r>
        <w:rPr>
          <w:color w:val="5F6B76"/>
          <w:sz w:val="18"/>
        </w:rP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F6B76"/>
        <w:sz w:val="18"/>
      </w:rPr>
      <w:t xml:space="preserve">Стр. </w:t>
    </w:r>
    <w:fldSimple w:instr="PAGE">
      <w:r>
        <w:rPr>
          <w:color w:val="5F6B76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8"/>
      </w:rPr>
      <w:t>HELOU-AVT | Инфраструктурная топология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8"/>
      </w:rPr>
      <w:t>HELOU-AVT | Инфраструктурная топология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8"/>
      </w:rPr>
      <w:t>HELOU-AVT | Инфраструктурная топология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600">
    <w:abstractNumId w:val="500"/>
  </w:num>
  <w:abstractNum w:abstractNumId="50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601">
    <w:abstractNumId w:val="5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HELOU-AVT. Инфраструктурная топология</dc:title>
  <dc:subject>Проектное решение по размещению, сети, HA и интеграции</dc:subject>
  <dc:creator>Проектная команда HELOU-AVT</dc:creator>
  <cp:keywords>HELOU-AVT, инфраструктура, HA, VLAN, PostgreSQL, RabbitMQ, ClickHouse, GPU</cp:keywords>
  <dc:description>Подготовлено для технического согласования.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