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/>
          <w:b/>
          <w:color w:val="1B365D"/>
          <w:sz w:val="44"/>
        </w:rPr>
        <w:t>ТЕХНИЧЕСКОЕ ОПИСАНИЕ ПРОЕКТА</w:t>
      </w:r>
    </w:p>
    <w:p>
      <w:pPr>
        <w:spacing w:before="0" w:after="240"/>
      </w:pPr>
      <w:r>
        <w:rPr>
          <w:rFonts w:ascii="Calibri" w:hAnsi="Calibri"/>
          <w:i/>
          <w:color w:val="4A5568"/>
          <w:sz w:val="24"/>
        </w:rPr>
        <w:t>Компьютерный тренажерный комплекс установки ЭЛОУ-АВТ со встроенным ИИ-тьютором (КТК ЭЛОУ-АВТ Смарт-Тьютор)</w:t>
      </w:r>
    </w:p>
    <w:p>
      <w:pPr>
        <w:spacing w:after="280"/>
      </w:pPr>
      <w:r>
        <w:rPr>
          <w:color w:val="007AFF"/>
        </w:rPr>
        <w:t>――――――――――――――――――――――――――――――――――――――――――――――――――――――――――</w:t>
      </w:r>
    </w:p>
    <w:p>
      <w:pPr>
        <w:pStyle w:val="Heading1"/>
        <w:spacing w:before="240" w:after="80"/>
      </w:pPr>
      <w:r>
        <w:rPr>
          <w:rFonts w:ascii="Calibri" w:hAnsi="Calibri"/>
          <w:color w:val="1B365D"/>
          <w:sz w:val="30"/>
        </w:rPr>
        <w:t>1. Общие сведения и назначение комплекса</w:t>
      </w:r>
    </w:p>
    <w:p>
      <w:r>
        <w:t>Компьютерный тренажерный комплекс «КТК ЭЛОУ-АВТ Смарт-Тьютор» представляет собой учебно-тренировочную систему для подготовки, аттестации и отработки противоаварийных действий операторов технологических установок первичной переработки нефти (ЭЛОУ-АВТ). Комплекс сочетает в себе динамическую математическую модель технологического процесса, SCADA-интерфейс реального времени, средства имитации аварийных отказов оборудования для инструктора и интеллектуальную систему оценки (ИИ-тьютор) на базе нейросетевых и алгоритмических методов.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63"/>
            <w:shd w:fill="F0F4F8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0" w:after="60"/>
            </w:pPr>
            <w:r>
              <w:rPr>
                <w:rFonts w:ascii="Calibri" w:hAnsi="Calibri"/>
                <w:b/>
                <w:color w:val="1B365D"/>
                <w:sz w:val="21"/>
              </w:rPr>
              <w:t>📌 Ключевые роли и назначение системы</w:t>
              <w:br/>
            </w:r>
            <w:r>
              <w:rPr>
                <w:rFonts w:ascii="Calibri" w:hAnsi="Calibri"/>
                <w:color w:val="2D3748"/>
                <w:sz w:val="19"/>
              </w:rPr>
              <w:t>• АРМ Оператора: мнемосхема технологической установки, панель КИПиА, управление исполнительными механизмами (насосы, клапаны, уставки горелок печей), тренды параметров в реальном времени, аварийные алерты и ИИ-подсказки.</w:t>
              <w:br/>
              <w:t>• АРМ Инструктора: выбор и запуск сценариев (пуск, останов, аварии), конструктор сценариев, дистанционный ввод отказов оборудования (9 типов неисправностей), мониторинг действий обучаемого, итоговый протокол (ScoreCard).</w:t>
            </w:r>
          </w:p>
        </w:tc>
      </w:tr>
    </w:tbl>
    <w:p>
      <w:pPr>
        <w:spacing w:before="0" w:after="80"/>
      </w:pPr>
    </w:p>
    <w:p>
      <w:pPr>
        <w:pStyle w:val="Heading1"/>
        <w:spacing w:before="240" w:after="80"/>
      </w:pPr>
      <w:r>
        <w:rPr>
          <w:rFonts w:ascii="Calibri" w:hAnsi="Calibri"/>
          <w:color w:val="1B365D"/>
          <w:sz w:val="30"/>
        </w:rPr>
        <w:t>2. Архитектура программного комплекса</w:t>
      </w:r>
    </w:p>
    <w:p>
      <w:r>
        <w:t>Система построена по клиент-серверной микросервисной архитектуре с разделением на независимые уровни представления, оркестрации, физико-химической симуляции и предиктивного анализа: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63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63238"/>
                <w:sz w:val="17"/>
              </w:rPr>
              <w:t>+-----------------------------------------------------------------------------------+</w:t>
              <w:br/>
              <w:t>|                            ПОЛЬЗОВАТЕЛЬСКИЙ УРОВЕНЬ (FRONTEND)                    |</w:t>
              <w:br/>
              <w:t>|  - АРМ Оператора (Мнемосхема SCADA, КИПиА, Тренды, Алерты)                        |</w:t>
              <w:br/>
              <w:t>|  - АРМ Инструктора (Управление сессиями, Ввод 9 отказов, Конструктор, ScoreCard)  |</w:t>
              <w:br/>
              <w:t>|  Технологии: React 19, TypeScript, Ant Design, styled-components, Recharts, Vite  |</w:t>
              <w:br/>
              <w:t>+-----------------------------------------------------------------------------------+</w:t>
              <w:br/>
              <w:t xml:space="preserve">                                         │  ▲ (REST API / JWT + WebSocket 1 Гц)</w:t>
              <w:br/>
              <w:t xml:space="preserve">                                         ▼  │</w:t>
              <w:br/>
              <w:t>+-----------------------------------------------------------------------------------+</w:t>
              <w:br/>
              <w:t>|                             СЕРВЕРНЫЙ СЛОЙ (BACKEND API)                          |</w:t>
              <w:br/>
              <w:t>|  - FastAPI (REST-маршруты, управление жизненным циклом сессий, безопасность)       |</w:t>
              <w:br/>
              <w:t>|  - WebSocket Manager (двусторонний обмен телеметрией и командами, ping/pong)     |</w:t>
              <w:br/>
              <w:t>|  - RBAC Security (разграничение ролей, rate limiting команд, HMAC-SHA256 подпись)  |</w:t>
              <w:br/>
              <w:t>+-----------------------------------------------------------------------------------+</w:t>
              <w:br/>
              <w:t xml:space="preserve">       │                                     │                              │</w:t>
              <w:br/>
              <w:t xml:space="preserve">       ▼                                     ▼                              ▼</w:t>
              <w:br/>
              <w:t>+-----------------------+   +-----------------------------+   +---------------------+</w:t>
              <w:br/>
              <w:t>| СИМУЛЯТОР ФИЗИКИ      |   | ИНТЕЛЛЕКТУАЛЬНЫЙ МОДУЛЬ ИИ  |   | ХРАНИЛИЩЕ ДАННЫХ    |</w:t>
              <w:br/>
              <w:t>| - Маршрут: ЭЛОУ-АТ-ВТ |   | - ONNX LSTM (прогноз на 15с)|   | - SQLite (WAL-режим)|</w:t>
              <w:br/>
              <w:t>| - Печи П-1 / П-3      |   | - Гибридный индикатор риска |   | - Пользователи      |</w:t>
              <w:br/>
              <w:t>| - Колонны К-1 / К-2   |   | - LCS сравнение регламента  |   | - Протоколы сессий  |</w:t>
              <w:br/>
              <w:t>| - Автоматика ПАЗ/ESD  |   | - RAG / TF-IDF поиск норм   |   | - Аудит действий    |</w:t>
              <w:br/>
              <w:t>+-----------------------+   +-----------------------------+   +---------------------+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c>
          <w:tcPr>
            <w:tcW w:type="dxa" w:w="259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Слой</w:t>
            </w:r>
          </w:p>
        </w:tc>
        <w:tc>
          <w:tcPr>
            <w:tcW w:type="dxa" w:w="259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Стек технологий</w:t>
            </w:r>
          </w:p>
        </w:tc>
        <w:tc>
          <w:tcPr>
            <w:tcW w:type="dxa" w:w="4464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Функциональная роль</w:t>
            </w:r>
          </w:p>
        </w:tc>
      </w:tr>
      <w:tr>
        <w:tc>
          <w:tcPr>
            <w:tcW w:type="dxa" w:w="25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Frontend (АРМ)</w:t>
            </w:r>
          </w:p>
        </w:tc>
        <w:tc>
          <w:tcPr>
            <w:tcW w:type="dxa" w:w="25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React 19, TypeScript, Vite, AntD, Recharts</w:t>
            </w:r>
          </w:p>
        </w:tc>
        <w:tc>
          <w:tcPr>
            <w:tcW w:type="dxa" w:w="4464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Интерфейс SCADA-мнемосхемы, отображение приборов КИПиА, ввод управляющих воздействий, отрисовка графиков.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Backend (API)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Python 3.11+, FastAPI, Pydantic v2, Uvicorn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Обработка REST-запросов, авторизация через JWT, управление WebSocket-подключениями, валидация команд.</w:t>
            </w:r>
          </w:p>
        </w:tc>
      </w:tr>
      <w:tr>
        <w:tc>
          <w:tcPr>
            <w:tcW w:type="dxa" w:w="25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Physics Engine</w:t>
            </w:r>
          </w:p>
        </w:tc>
        <w:tc>
          <w:tcPr>
            <w:tcW w:type="dxa" w:w="25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Python (NumPy, SciPy), ООП модель установки</w:t>
            </w:r>
          </w:p>
        </w:tc>
        <w:tc>
          <w:tcPr>
            <w:tcW w:type="dxa" w:w="4464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Динамический расчет материальных и тепловых балансов, гидродинамики колонн и печей с шагом 1 секунда.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AI / ML Core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PyTorch (обучение), ONNX Runtime (инференс CPU)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Прогноз температуры, давления и уровня на 15 сек вперед, гибридная оценка аварийного риска, LCS-анализ действий.</w:t>
            </w:r>
          </w:p>
        </w:tc>
      </w:tr>
      <w:tr>
        <w:tc>
          <w:tcPr>
            <w:tcW w:type="dxa" w:w="25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Data &amp; Security</w:t>
            </w:r>
          </w:p>
        </w:tc>
        <w:tc>
          <w:tcPr>
            <w:tcW w:type="dxa" w:w="25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SQLite, HMAC-SHA256, bcrypt, JSON-реестры</w:t>
            </w:r>
          </w:p>
        </w:tc>
        <w:tc>
          <w:tcPr>
            <w:tcW w:type="dxa" w:w="4464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Хранение учетных записей, журнал аудита с защитой от подделки, версионированные сценарии обучения.</w:t>
            </w:r>
          </w:p>
        </w:tc>
      </w:tr>
    </w:tbl>
    <w:p>
      <w:pPr>
        <w:spacing w:before="120"/>
      </w:pPr>
    </w:p>
    <w:p>
      <w:pPr>
        <w:pStyle w:val="Heading1"/>
        <w:spacing w:before="240" w:after="80"/>
      </w:pPr>
      <w:r>
        <w:rPr>
          <w:rFonts w:ascii="Calibri" w:hAnsi="Calibri"/>
          <w:color w:val="1B365D"/>
          <w:sz w:val="30"/>
        </w:rPr>
        <w:t>3. Модель технологического процесса и блокировки ПАЗ</w:t>
      </w:r>
    </w:p>
    <w:p>
      <w:r>
        <w:t>Математическая модель охватывает сквозную цепочку первичной переработки нефти:</w:t>
        <w:br/>
        <w:t>1. Блок ЭЛОУ (Электрообессоливающая установка): моделирует динамику остаточного содержания солей и воды, подачу деэмульгатора насосом Н-20 и проскок солей при нарушении технологического режима.</w:t>
        <w:br/>
        <w:t>2. Атмосферный блок АТ (Печь П-1 и атмосферная колонна К-1): детальная динамика теплопередачи в радиантной и конвективной секциях печи, материальный баланс паровой и жидкой фаз в колонне К-1, влияние отпарного пара.</w:t>
        <w:br/>
        <w:t>3. Вакуумный блок ВТ (Печь П-3 и вакуумная колонна К-2): расчет остаточного вакуума, создаваемого пароэжекторной группой, гидравлический перепад давления по 43 тарелкам (0.0208 МПа), динамика охлаждения и заполнения куба с учетом транспортного запаздывания датчиков (40–50 секунд).</w:t>
      </w:r>
    </w:p>
    <w:p>
      <w:r>
        <w:t>Технологические границы и пороги системы противоаварийной защиты (ПАЗ/ESD):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c>
          <w:tcPr>
            <w:tcW w:type="dxa" w:w="259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Параметр / Прибор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Норма</w:t>
            </w:r>
          </w:p>
        </w:tc>
        <w:tc>
          <w:tcPr>
            <w:tcW w:type="dxa" w:w="2304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Аварийный порог / ПАЗ</w:t>
            </w:r>
          </w:p>
        </w:tc>
        <w:tc>
          <w:tcPr>
            <w:tcW w:type="dxa" w:w="288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Физический смысл / Реакция ПАЗ</w:t>
            </w:r>
          </w:p>
        </w:tc>
      </w:tr>
      <w:tr>
        <w:tc>
          <w:tcPr>
            <w:tcW w:type="dxa" w:w="25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Печь П-1 (TRC-1)</w:t>
            </w:r>
          </w:p>
        </w:tc>
        <w:tc>
          <w:tcPr>
            <w:tcW w:type="dxa" w:w="187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300 – 360 °C</w:t>
            </w:r>
          </w:p>
        </w:tc>
        <w:tc>
          <w:tcPr>
            <w:tcW w:type="dxa" w:w="2304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&gt; 365.0 °C (Авария)</w:t>
            </w:r>
          </w:p>
        </w:tc>
        <w:tc>
          <w:tcPr>
            <w:tcW w:type="dxa" w:w="288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Прогар змеевика печи. ПАЗ: автоматическая отсечка топливного газа.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Давление К-1 (PRSA 204)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0.10 – 0.44 МПа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&gt; 0.4707 МПа (4.8 кгс/см²)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Блокировка ПАЗ: открытие сброса на факел через клапан V-2.</w:t>
            </w:r>
          </w:p>
        </w:tc>
      </w:tr>
      <w:tr>
        <w:tc>
          <w:tcPr>
            <w:tcW w:type="dxa" w:w="25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Разгерметизация К-1</w:t>
            </w:r>
          </w:p>
        </w:tc>
        <w:tc>
          <w:tcPr>
            <w:tcW w:type="dxa" w:w="187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&lt; 0.44 МПа</w:t>
            </w:r>
          </w:p>
        </w:tc>
        <w:tc>
          <w:tcPr>
            <w:tcW w:type="dxa" w:w="2304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&gt; 0.60 МПа</w:t>
            </w:r>
          </w:p>
        </w:tc>
        <w:tc>
          <w:tcPr>
            <w:tcW w:type="dxa" w:w="288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Критическая авария разгерметизации корпуса атмосферной колонны.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Уровень куба К-1 (LRCSA 602)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30 – 70 %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&lt; 15.0 % (ПАЗ) / &gt; 98.0 %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Защита насосов куба от сухого хода (&lt;15%) и предотвращение захлебывания (&gt;98%).</w:t>
            </w:r>
          </w:p>
        </w:tc>
      </w:tr>
      <w:tr>
        <w:tc>
          <w:tcPr>
            <w:tcW w:type="dxa" w:w="25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Вакуум К-2 (Остаточное Р)</w:t>
            </w:r>
          </w:p>
        </w:tc>
        <w:tc>
          <w:tcPr>
            <w:tcW w:type="dxa" w:w="187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0.005 – 0.02 МПа</w:t>
            </w:r>
          </w:p>
        </w:tc>
        <w:tc>
          <w:tcPr>
            <w:tcW w:type="dxa" w:w="2304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&gt; 0.08 МПа (Критический)</w:t>
            </w:r>
          </w:p>
        </w:tc>
        <w:tc>
          <w:tcPr>
            <w:tcW w:type="dxa" w:w="288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Срыв вакуума в колонне К-2 при отказе пароэжекторов.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Уровень нефти ЭЛОУ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&gt; 3500 мм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&lt; 3500 мм (Техрегламент)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Снятие напряжения с электродов ИПМ во избежание взрыва газовой фазы.</w:t>
            </w:r>
          </w:p>
        </w:tc>
      </w:tr>
    </w:tbl>
    <w:p>
      <w:pPr>
        <w:spacing w:before="120"/>
      </w:pPr>
    </w:p>
    <w:p>
      <w:pPr>
        <w:pStyle w:val="Heading1"/>
        <w:spacing w:before="240" w:after="80"/>
      </w:pPr>
      <w:r>
        <w:rPr>
          <w:rFonts w:ascii="Calibri" w:hAnsi="Calibri"/>
          <w:color w:val="1B365D"/>
          <w:sz w:val="30"/>
        </w:rPr>
        <w:t>4. Учебные сценарии и отказы оборудования</w:t>
      </w:r>
    </w:p>
    <w:p>
      <w:r>
        <w:t>В комплексе реализована библиотека из 7 базовых регламентных сценариев и 9 видов аппаратных отказов, а также графический конструктор сценариев для создания авторских заданий инструктором:</w:t>
      </w:r>
    </w:p>
    <w:p>
      <w:r>
        <w:rPr>
          <w:b/>
        </w:rPr>
        <w:t>Базовые учебные сценарии:</w:t>
        <w:br/>
      </w:r>
      <w:r>
        <w:rPr>
          <w:b/>
        </w:rPr>
        <w:t xml:space="preserve">1. Пуск установки ЭЛОУ-АВТ: </w:t>
      </w:r>
      <w:r>
        <w:t>Последовательный набор уровня в К-1 насосом Н-20, подача сырья через печь П-1 в К-2 насосом Н-2, запуск контура П-3 и вывод печей на рабочий температурный режим (300–365 °C).</w:t>
        <w:br/>
      </w:r>
      <w:r>
        <w:rPr>
          <w:b/>
        </w:rPr>
        <w:t xml:space="preserve">2. Плановый останов печей П-1 и П-3: </w:t>
      </w:r>
      <w:r>
        <w:t>Плавное снижение тепловой нагрузки, прекращение подачи топлива, циркуляция для расхолаживания змеевиков.</w:t>
        <w:br/>
      </w:r>
      <w:r>
        <w:rPr>
          <w:b/>
        </w:rPr>
        <w:t xml:space="preserve">3. Аварийный останов колонны К-1: </w:t>
      </w:r>
      <w:r>
        <w:t>Действия оператора при резком падении уровня или нарушении технологического режима фракционирования.</w:t>
        <w:br/>
      </w:r>
      <w:r>
        <w:rPr>
          <w:b/>
        </w:rPr>
        <w:t xml:space="preserve">4. Сброс избыточного давления К-1: </w:t>
      </w:r>
      <w:r>
        <w:t>Ликвидация аварийного роста давления, открытие клапана V-2 на факел, регулирование подачи сырья.</w:t>
        <w:br/>
      </w:r>
      <w:r>
        <w:rPr>
          <w:b/>
        </w:rPr>
        <w:t xml:space="preserve">5. Перевод установки на рециркуляцию: </w:t>
      </w:r>
      <w:r>
        <w:t>Переключение технологических потоков на циркуляционный контур без выдачи готовых фракций.</w:t>
        <w:br/>
      </w:r>
      <w:r>
        <w:rPr>
          <w:b/>
        </w:rPr>
        <w:t xml:space="preserve">6. Прорыв солей из блока ЭЛОУ: </w:t>
      </w:r>
      <w:r>
        <w:t>Увеличение подачи деэмульгатора, дренаж отстоявшейся подтоварной воды, регулирование температуры ЭЛОУ.</w:t>
        <w:br/>
      </w:r>
      <w:r>
        <w:rPr>
          <w:b/>
        </w:rPr>
        <w:t xml:space="preserve">7. Срыв вакуума в колонне К-2: </w:t>
      </w:r>
      <w:r>
        <w:t>Восстановление подачи рабочего пара на эжекторы, балансировка откачки гудрона насосами Н-4 / Н-32.</w:t>
      </w:r>
    </w:p>
    <w:p>
      <w:r>
        <w:t>Реестр аварийных отказов оборудования, инициируемых инструктором: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c>
          <w:tcPr>
            <w:tcW w:type="dxa" w:w="259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Идентификатор</w:t>
            </w:r>
          </w:p>
        </w:tc>
        <w:tc>
          <w:tcPr>
            <w:tcW w:type="dxa" w:w="3168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Наименование отказа</w:t>
            </w:r>
          </w:p>
        </w:tc>
        <w:tc>
          <w:tcPr>
            <w:tcW w:type="dxa" w:w="3888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Физическое проявление в модели</w:t>
            </w:r>
          </w:p>
        </w:tc>
      </w:tr>
      <w:tr>
        <w:tc>
          <w:tcPr>
            <w:tcW w:type="dxa" w:w="25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pump_fail</w:t>
            </w:r>
          </w:p>
        </w:tc>
        <w:tc>
          <w:tcPr>
            <w:tcW w:type="dxa" w:w="3168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Отказ сырьевого насоса Н-20</w:t>
            </w:r>
          </w:p>
        </w:tc>
        <w:tc>
          <w:tcPr>
            <w:tcW w:type="dxa" w:w="3888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Прекращение подачи сырья в установку даже при открытом клапане V-1.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coil_overheat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Прогар / перегрев змеевика П-1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Неконтролируемый аномальный рост температуры выше порога 365 °C.</w:t>
            </w:r>
          </w:p>
        </w:tc>
      </w:tr>
      <w:tr>
        <w:tc>
          <w:tcPr>
            <w:tcW w:type="dxa" w:w="25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valve_jam</w:t>
            </w:r>
          </w:p>
        </w:tc>
        <w:tc>
          <w:tcPr>
            <w:tcW w:type="dxa" w:w="3168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Заедание сбросного клапана V-2</w:t>
            </w:r>
          </w:p>
        </w:tc>
        <w:tc>
          <w:tcPr>
            <w:tcW w:type="dxa" w:w="3888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Клапан не снижает давление в К-1 при открытии (механический клин).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power_fail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Полный отказ электроснабжения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Мгновенный останов всех насосов, сброс уставок горелок печей до 20 °C.</w:t>
            </w:r>
          </w:p>
        </w:tc>
      </w:tr>
      <w:tr>
        <w:tc>
          <w:tcPr>
            <w:tcW w:type="dxa" w:w="25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air_fail</w:t>
            </w:r>
          </w:p>
        </w:tc>
        <w:tc>
          <w:tcPr>
            <w:tcW w:type="dxa" w:w="3168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Отказ воздуха КИПиА</w:t>
            </w:r>
          </w:p>
        </w:tc>
        <w:tc>
          <w:tcPr>
            <w:tcW w:type="dxa" w:w="3888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Клапаны V-1 и V-3 закрываются (нормально закрытые), V-2 блокируется.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steam_fail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Срыв подачи отпарного пара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Прекращение отпарки легких фракций в стриппинге, резкий рост P-1 и L-1.</w:t>
            </w:r>
          </w:p>
        </w:tc>
      </w:tr>
      <w:tr>
        <w:tc>
          <w:tcPr>
            <w:tcW w:type="dxa" w:w="25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elou_desalt_fail</w:t>
            </w:r>
          </w:p>
        </w:tc>
        <w:tc>
          <w:tcPr>
            <w:tcW w:type="dxa" w:w="3168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Нарушение обессоливания ЭЛОУ</w:t>
            </w:r>
          </w:p>
        </w:tc>
        <w:tc>
          <w:tcPr>
            <w:tcW w:type="dxa" w:w="3888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Проскок хлористых солей и пластовой воды в сырьевой поток печи П-1.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vt_vacuum_loss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Срыв вакуума блока ВТ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Падение разрежения и рост остаточного давления в К-2 выше 0.08 МПа.</w:t>
            </w:r>
          </w:p>
        </w:tc>
      </w:tr>
      <w:tr>
        <w:tc>
          <w:tcPr>
            <w:tcW w:type="dxa" w:w="25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k2_pump_fail</w:t>
            </w:r>
          </w:p>
        </w:tc>
        <w:tc>
          <w:tcPr>
            <w:tcW w:type="dxa" w:w="3168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Отказ насосов откачки куба К-2</w:t>
            </w:r>
          </w:p>
        </w:tc>
        <w:tc>
          <w:tcPr>
            <w:tcW w:type="dxa" w:w="3888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Отказ рабочих агрегатов Н-4 / Н-32, быстрый рост уровня гудрона в К-2.</w:t>
            </w:r>
          </w:p>
        </w:tc>
      </w:tr>
    </w:tbl>
    <w:p>
      <w:pPr>
        <w:spacing w:before="120"/>
      </w:pPr>
    </w:p>
    <w:p>
      <w:pPr>
        <w:pStyle w:val="Heading1"/>
        <w:spacing w:before="240" w:after="80"/>
      </w:pPr>
      <w:r>
        <w:rPr>
          <w:rFonts w:ascii="Calibri" w:hAnsi="Calibri"/>
          <w:color w:val="1B365D"/>
          <w:sz w:val="30"/>
        </w:rPr>
        <w:t>5. Интеллектуальный модуль (AI/ML) и оценка действий</w:t>
      </w:r>
    </w:p>
    <w:p>
      <w:r>
        <w:t>В состав тренажера входит четырехкомпонентный интеллектуальный модуль, решающий задачи предиктивной аналитики, оценки риска, контроля действий оператора и информационно-справочной поддержки:</w:t>
      </w:r>
    </w:p>
    <w:p>
      <w:r>
        <w:rPr>
          <w:b/>
        </w:rPr>
        <w:t>1. Нейросетевой предиктор (LSTM в формате ONNX):</w:t>
        <w:br/>
      </w:r>
      <w:r>
        <w:t>• Архитектура: двухслойная рекуррентная сеть LSTM, оптимизированная для быстрого инференса на CPU через ONNX Runtime.</w:t>
        <w:br/>
        <w:t>• Входные данные: скользящее временное окно 30 секунд по 7 технологическим параметрам (T_1, P_1, L_1, V_1, V_2, V_3, уставка печи).</w:t>
        <w:br/>
        <w:t>• Выходные данные: предиктивная траектория ключевых параметров (температура, давление, уровень) на горизонт 15 секунд вперед.</w:t>
        <w:br/>
        <w:t>• Скорость инференса: менее 5 мс на шаг симуляции.</w:t>
        <w:br/>
        <w:br/>
      </w:r>
      <w:r>
        <w:rPr>
          <w:b/>
        </w:rPr>
        <w:t>2. Гибридный расчет техногенного риска (Risk Index):</w:t>
        <w:br/>
      </w:r>
      <w:r>
        <w:t>Оценка вероятности аварии строится как ансамбль трех независимых источников:</w:t>
        <w:br/>
        <w:t>• Нейросетевой прогноз выхода параметров за предупредительные границы в пределах 15 секунд;</w:t>
        <w:br/>
        <w:t>• Численный экстраполятор трендов (полиномиальная аппроксимация первой производной dX/dt);</w:t>
        <w:br/>
        <w:t>• Экспертные правила ПАЗ (близость к отсечкам 0.47 МПа, 365 °C, 15% уровня).</w:t>
        <w:br/>
        <w:t>Итоговый риск агрегируется в шкалу 0–100% с цветовой дифференциацией (Зеленый / Желтый / Красный).</w:t>
        <w:br/>
        <w:br/>
      </w:r>
      <w:r>
        <w:rPr>
          <w:b/>
        </w:rPr>
        <w:t>3. Алгоритмическая оценка регламентных действий (LCS-тьютор):</w:t>
        <w:br/>
      </w:r>
      <w:r>
        <w:t>Фактическая цепочка переключений оператора сопоставляется с эталонной последовательностью (Golden Sequence) с помощью детерминированного алгоритма наибольшей общей подпоследовательности (Longest Common Subsequence — LCS). Это исключает влияние случайных пропусков шагов и объективно формирует ScoreCard (точность выполнения, штрафы за опасные действия, затраченное время).</w:t>
        <w:br/>
        <w:br/>
      </w:r>
      <w:r>
        <w:rPr>
          <w:b/>
        </w:rPr>
        <w:t>4. RAG-ассистент регламентной базы знаний:</w:t>
        <w:br/>
      </w:r>
      <w:r>
        <w:t>Встроенный модуль поиска по техническому регламенту установки ЭЛОУ-АВТ на основе TF-IDF. При возникновении отклонений ассистент выдает обучаемому контекстные подсказки с точной ссылкой на пункты нормативной документации.</w:t>
      </w:r>
    </w:p>
    <w:p>
      <w:pPr>
        <w:pStyle w:val="Heading1"/>
        <w:spacing w:before="240" w:after="80"/>
      </w:pPr>
      <w:r>
        <w:rPr>
          <w:rFonts w:ascii="Calibri" w:hAnsi="Calibri"/>
          <w:color w:val="1B365D"/>
          <w:sz w:val="30"/>
        </w:rPr>
        <w:t>6. Информационная безопасность и контроль целостности</w:t>
      </w:r>
    </w:p>
    <w:p>
      <w:r>
        <w:t>В соответствии с требованиями к компьютерным тренажерным комплексам критически важных объектов, в проекте реализована комплексная модель информационной безопасности: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63"/>
            <w:shd w:fill="F0F4F8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0" w:after="60"/>
            </w:pPr>
            <w:r>
              <w:rPr>
                <w:rFonts w:ascii="Calibri" w:hAnsi="Calibri"/>
                <w:b/>
                <w:color w:val="1B365D"/>
                <w:sz w:val="21"/>
              </w:rPr>
              <w:t>📌 Механизмы ИБ в КТК ЭЛОУ-АВТ</w:t>
              <w:br/>
            </w:r>
            <w:r>
              <w:rPr>
                <w:rFonts w:ascii="Calibri" w:hAnsi="Calibri"/>
                <w:color w:val="2D3748"/>
                <w:sz w:val="19"/>
              </w:rPr>
              <w:t>• Контроль целостности протоколов (HMAC-SHA256): каждый итоговый ScoreCard подписывается криптографическим хэшем с секретной солью сервера. Любая попытка модификации баллов или времени сессии в базе данных мгновенно детектируется как компрометация.</w:t>
              <w:br/>
              <w:t>• Ролевой контроль доступа (RBAC): строгое разграничение прав Operator и Instructor на уровне FastAPI зависимостей и WebSocket.</w:t>
              <w:br/>
              <w:t>• Защита от DoS и флуда команд (Rate Limiting): ограничение частоты переключения арматуры и насосов (не более 5 команд в секунду на сессию).</w:t>
              <w:br/>
              <w:t>• Неизменяемый журнал аудита: сквозное логирование всех действий пользователя с метками времени и IP-адресами.</w:t>
            </w:r>
          </w:p>
        </w:tc>
      </w:tr>
    </w:tbl>
    <w:p>
      <w:pPr>
        <w:spacing w:before="0" w:after="80"/>
      </w:pPr>
    </w:p>
    <w:p>
      <w:pPr>
        <w:pStyle w:val="Heading1"/>
        <w:spacing w:before="240" w:after="80"/>
      </w:pPr>
      <w:r>
        <w:rPr>
          <w:rFonts w:ascii="Calibri" w:hAnsi="Calibri"/>
          <w:color w:val="1B365D"/>
          <w:sz w:val="30"/>
        </w:rPr>
        <w:t>7. Стек технологий, развертывание и статус проекта</w:t>
      </w:r>
    </w:p>
    <w:p>
      <w:r>
        <w:t>Проект полностью упакован в контейнеры Docker и готов к локальному или серверному развертыванию через Docker Compose. В продакшен-контуре используется обратный прокси-сервер Caddy с автоматическим TLS-шифрованием.</w:t>
      </w:r>
    </w:p>
    <w:p>
      <w:r>
        <w:t>Текущий статус реализации (MVP):</w:t>
        <w:br/>
        <w:t>• Полностью реализованы и верифицированы сквозные интерфейсы оператора и инструктора;</w:t>
        <w:br/>
        <w:t>• Успешно проходят 156 backend unit/integration тестов, архитектурные линтеры ruff и проверки контрактов слоев;</w:t>
        <w:br/>
        <w:t>• Доказана работоспособность WebSocket-контура при непрерывной телеметрии 1 Гц;</w:t>
        <w:br/>
        <w:t>• Сформированы Model Card и Data Card для ML-компонентов;</w:t>
        <w:br/>
        <w:t>• Развернут рабочий публичный демонстрационный стенд.</w:t>
      </w:r>
    </w:p>
    <w:sectPr w:rsidR="00FC693F" w:rsidRPr="0006063C" w:rsidSect="00034616">
      <w:pgSz w:w="11909" w:h="16834"/>
      <w:pgMar w:top="1123" w:right="1123" w:bottom="112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