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Display" w:hAnsi="Aptos Display"/>
          <w:b/>
          <w:color w:val="2F8F3A"/>
          <w:sz w:val="64"/>
        </w:rPr>
        <w:t>EKEEKRTA</w:t>
      </w:r>
    </w:p>
    <w:p>
      <w:pPr>
        <w:jc w:val="center"/>
      </w:pPr>
      <w:r>
        <w:rPr>
          <w:rFonts w:ascii="Aptos Display" w:hAnsi="Aptos Display"/>
          <w:b/>
          <w:color w:val="15451C"/>
          <w:sz w:val="44"/>
        </w:rPr>
        <w:t>Structured Literature Survey and Research Gap Analysis</w:t>
      </w:r>
    </w:p>
    <w:p>
      <w:pPr>
        <w:jc w:val="center"/>
      </w:pPr>
      <w:r>
        <w:rPr>
          <w:color w:val="5E6A61"/>
          <w:sz w:val="28"/>
        </w:rPr>
        <w:t>Smart Virtual Learning Management and Classroom Platform for Higher Education</w:t>
      </w:r>
    </w:p>
    <w:p/>
    <w:tbl>
      <w:tblPr>
        <w:tblW w:type="auto" w:w="0"/>
        <w:jc w:val="center"/>
        <w:tblLayout w:type="fixed"/>
        <w:tblLook w:firstColumn="1" w:firstRow="1" w:lastColumn="0" w:lastRow="0" w:noHBand="0" w:noVBand="1" w:val="04A0"/>
      </w:tblPr>
      <w:tblGrid>
        <w:gridCol w:w="2381"/>
        <w:gridCol w:w="6520"/>
      </w:tblGrid>
      <w:tr>
        <w:tc>
          <w:tcPr>
            <w:tcW w:type="dxa" w:w="2381"/>
            <w:tcMar>
              <w:top w:w="100" w:type="dxa"/>
              <w:start w:w="120" w:type="dxa"/>
              <w:bottom w:w="100" w:type="dxa"/>
              <w:end w:w="120" w:type="dxa"/>
            </w:tcMar>
            <w:vAlign w:val="center"/>
            <w:shd w:fill="2F8F3A"/>
          </w:tcPr>
          <w:p>
            <w:r>
              <w:rPr>
                <w:b/>
                <w:color w:val="FFFFFF"/>
              </w:rPr>
              <w:t>Institution</w:t>
            </w:r>
          </w:p>
        </w:tc>
        <w:tc>
          <w:tcPr>
            <w:tcW w:type="dxa" w:w="6520"/>
            <w:tcMar>
              <w:top w:w="100" w:type="dxa"/>
              <w:start w:w="120" w:type="dxa"/>
              <w:bottom w:w="100" w:type="dxa"/>
              <w:end w:w="120" w:type="dxa"/>
            </w:tcMar>
            <w:vAlign w:val="center"/>
            <w:shd w:fill="EAF4E8"/>
          </w:tcPr>
          <w:p>
            <w:r>
              <w:t>Hyderabad Institute of Technology and Management</w:t>
            </w:r>
          </w:p>
        </w:tc>
      </w:tr>
      <w:tr>
        <w:tc>
          <w:tcPr>
            <w:tcW w:type="dxa" w:w="2381"/>
            <w:tcMar>
              <w:top w:w="100" w:type="dxa"/>
              <w:start w:w="120" w:type="dxa"/>
              <w:bottom w:w="100" w:type="dxa"/>
              <w:end w:w="120" w:type="dxa"/>
            </w:tcMar>
            <w:vAlign w:val="center"/>
            <w:shd w:fill="2F8F3A"/>
          </w:tcPr>
          <w:p>
            <w:r>
              <w:rPr>
                <w:b/>
                <w:color w:val="FFFFFF"/>
              </w:rPr>
              <w:t>Department</w:t>
            </w:r>
          </w:p>
        </w:tc>
        <w:tc>
          <w:tcPr>
            <w:tcW w:type="dxa" w:w="6520"/>
            <w:tcMar>
              <w:top w:w="100" w:type="dxa"/>
              <w:start w:w="120" w:type="dxa"/>
              <w:bottom w:w="100" w:type="dxa"/>
              <w:end w:w="120" w:type="dxa"/>
            </w:tcMar>
            <w:vAlign w:val="center"/>
            <w:shd w:fill="FFFFFF"/>
          </w:tcPr>
          <w:p>
            <w:r>
              <w:t>Computer Science and Engineering (AI &amp; ML)</w:t>
            </w:r>
          </w:p>
        </w:tc>
      </w:tr>
      <w:tr>
        <w:tc>
          <w:tcPr>
            <w:tcW w:type="dxa" w:w="2381"/>
            <w:tcMar>
              <w:top w:w="100" w:type="dxa"/>
              <w:start w:w="120" w:type="dxa"/>
              <w:bottom w:w="100" w:type="dxa"/>
              <w:end w:w="120" w:type="dxa"/>
            </w:tcMar>
            <w:vAlign w:val="center"/>
            <w:shd w:fill="2F8F3A"/>
          </w:tcPr>
          <w:p>
            <w:r>
              <w:rPr>
                <w:b/>
                <w:color w:val="FFFFFF"/>
              </w:rPr>
              <w:t>Review</w:t>
            </w:r>
          </w:p>
        </w:tc>
        <w:tc>
          <w:tcPr>
            <w:tcW w:type="dxa" w:w="6520"/>
            <w:tcMar>
              <w:top w:w="100" w:type="dxa"/>
              <w:start w:w="120" w:type="dxa"/>
              <w:bottom w:w="100" w:type="dxa"/>
              <w:end w:w="120" w:type="dxa"/>
            </w:tcMar>
            <w:vAlign w:val="center"/>
            <w:shd w:fill="EAF4E8"/>
          </w:tcPr>
          <w:p>
            <w:r>
              <w:t>Major Project Stage 1 - Review 2</w:t>
            </w:r>
          </w:p>
        </w:tc>
      </w:tr>
      <w:tr>
        <w:tc>
          <w:tcPr>
            <w:tcW w:type="dxa" w:w="2381"/>
            <w:tcMar>
              <w:top w:w="100" w:type="dxa"/>
              <w:start w:w="120" w:type="dxa"/>
              <w:bottom w:w="100" w:type="dxa"/>
              <w:end w:w="120" w:type="dxa"/>
            </w:tcMar>
            <w:vAlign w:val="center"/>
            <w:shd w:fill="2F8F3A"/>
          </w:tcPr>
          <w:p>
            <w:r>
              <w:rPr>
                <w:b/>
                <w:color w:val="FFFFFF"/>
              </w:rPr>
              <w:t>Student</w:t>
            </w:r>
          </w:p>
        </w:tc>
        <w:tc>
          <w:tcPr>
            <w:tcW w:type="dxa" w:w="6520"/>
            <w:tcMar>
              <w:top w:w="100" w:type="dxa"/>
              <w:start w:w="120" w:type="dxa"/>
              <w:bottom w:w="100" w:type="dxa"/>
              <w:end w:w="120" w:type="dxa"/>
            </w:tcMar>
            <w:vAlign w:val="center"/>
            <w:shd w:fill="FFFFFF"/>
          </w:tcPr>
          <w:p>
            <w:r>
              <w:t>Arla Hanmanth Rao (24E55A6601)</w:t>
            </w:r>
          </w:p>
        </w:tc>
      </w:tr>
      <w:tr>
        <w:tc>
          <w:tcPr>
            <w:tcW w:type="dxa" w:w="2381"/>
            <w:tcMar>
              <w:top w:w="100" w:type="dxa"/>
              <w:start w:w="120" w:type="dxa"/>
              <w:bottom w:w="100" w:type="dxa"/>
              <w:end w:w="120" w:type="dxa"/>
            </w:tcMar>
            <w:vAlign w:val="center"/>
            <w:shd w:fill="2F8F3A"/>
          </w:tcPr>
          <w:p>
            <w:r>
              <w:rPr>
                <w:b/>
                <w:color w:val="FFFFFF"/>
              </w:rPr>
              <w:t>Prepared</w:t>
            </w:r>
          </w:p>
        </w:tc>
        <w:tc>
          <w:tcPr>
            <w:tcW w:type="dxa" w:w="6520"/>
            <w:tcMar>
              <w:top w:w="100" w:type="dxa"/>
              <w:start w:w="120" w:type="dxa"/>
              <w:bottom w:w="100" w:type="dxa"/>
              <w:end w:w="120" w:type="dxa"/>
            </w:tcMar>
            <w:vAlign w:val="center"/>
            <w:shd w:fill="EAF4E8"/>
          </w:tcPr>
          <w:p>
            <w:r>
              <w:t>25 September 2026</w:t>
            </w:r>
          </w:p>
        </w:tc>
      </w:tr>
    </w:tbl>
    <w:p>
      <w:pPr>
        <w:spacing w:before="480"/>
        <w:jc w:val="center"/>
      </w:pPr>
      <w:r>
        <w:rPr>
          <w:i/>
          <w:color w:val="5E6A61"/>
          <w:sz w:val="19"/>
        </w:rPr>
        <w:t>Scope note: This survey covers university workflows only. Features for other institution types are intentionally excluded.</w:t>
      </w:r>
    </w:p>
    <w:p>
      <w:r>
        <w:br w:type="page"/>
      </w:r>
    </w:p>
    <w:p>
      <w:pPr>
        <w:pStyle w:val="Heading1"/>
        <w:keepNext/>
      </w:pPr>
      <w:r>
        <w:t>Executive Summary</w:t>
      </w:r>
    </w:p>
    <w:p>
      <w:pPr>
        <w:pStyle w:val="BodyText"/>
      </w:pPr>
      <w:r>
        <w:t>The reviewed literature supports the need for a unified higher-education platform whose quality depends on more than one feature. Research separately examines e-learning success, role security, synchronous teaching, attendance, assessment, programming feedback, learning resources, dashboards, ERP integration, artificial intelligence and gamification. The recurring weakness is fragmentation: each area often uses a separate system, evidence model and evaluation method.</w:t>
      </w:r>
    </w:p>
    <w:p>
      <w:pPr>
        <w:pStyle w:val="BodyText"/>
      </w:pPr>
      <w:r>
        <w:t>Ekeekrta addresses this gap through one institution-scoped workflow. The platform covers institution onboarding, account administration, role-specific dashboards, academic structure, course workspaces, assignments, quizzes, programming assessments, study resources, calendars, virtual classes, duration-based attendance, class history, ERP exchange, explainable progress support, native AI assistance and a planned evidence-based gamification engine. The survey distinguishes implemented, partial and future work so the review does not present a prototype interface as measured educational success.</w:t>
      </w:r>
    </w:p>
    <w:p>
      <w:pPr>
        <w:pStyle w:val="Heading1"/>
        <w:keepNext/>
      </w:pPr>
      <w:r>
        <w:t>1. Introduction</w:t>
      </w:r>
    </w:p>
    <w:p>
      <w:pPr>
        <w:pStyle w:val="Heading2"/>
        <w:keepNext/>
      </w:pPr>
      <w:r>
        <w:t>1.1 Why the project is worth reviewing</w:t>
      </w:r>
    </w:p>
    <w:p>
      <w:pPr>
        <w:pStyle w:val="BodyText"/>
      </w:pPr>
      <w:r>
        <w:t>Universities commonly operate identity management, learning management, video conferencing, attendance, assessment, student support and official records as separate workflows. Students move between portals while faculty and administrators repeat data entry. A review is therefore valuable because Ekeekrta attempts to connect the complete university learning lifecycle while preserving institution, department, course and individual access boundaries.</w:t>
      </w:r>
    </w:p>
    <w:p>
      <w:pPr>
        <w:pStyle w:val="Heading2"/>
        <w:keepNext/>
      </w:pPr>
      <w:r>
        <w:t>1.2 Problem statement</w:t>
      </w:r>
    </w:p>
    <w:p>
      <w:pPr>
        <w:pStyle w:val="BodyText"/>
      </w:pPr>
      <w:r>
        <w:t>How can one university platform securely connect institutional administration, course delivery, live classes, attendance, assessment, programming practice, learning resources, ERP records, analytics, AI assistance and gamification while keeping every academic decision traceable and human-controlled?</w:t>
      </w:r>
    </w:p>
    <w:p>
      <w:pPr>
        <w:pStyle w:val="Heading2"/>
        <w:keepNext/>
      </w:pPr>
      <w:r>
        <w:t>1.3 Key concepts</w:t>
      </w:r>
    </w:p>
    <w:p>
      <w:pPr>
        <w:pStyle w:val="BodyText"/>
      </w:pPr>
      <w:r>
        <w:rPr>
          <w:b/>
        </w:rPr>
        <w:t>Learning management system (LMS):</w:t>
      </w:r>
      <w:r>
        <w:t xml:space="preserve"> A digital environment for courses, materials, assignments, quizzes, submissions and grades.</w:t>
      </w:r>
    </w:p>
    <w:p>
      <w:pPr>
        <w:pStyle w:val="BodyText"/>
      </w:pPr>
      <w:r>
        <w:rPr>
          <w:b/>
        </w:rPr>
        <w:t>Institution tenant:</w:t>
      </w:r>
      <w:r>
        <w:t xml:space="preserve"> An isolated university profile containing its branding, users, departments, courses and records.</w:t>
      </w:r>
    </w:p>
    <w:p>
      <w:pPr>
        <w:pStyle w:val="BodyText"/>
      </w:pPr>
      <w:r>
        <w:rPr>
          <w:b/>
        </w:rPr>
        <w:t>Synchronous virtual classroom:</w:t>
      </w:r>
      <w:r>
        <w:t xml:space="preserve"> A real-time audio, screen-sharing, chat and participation environment.</w:t>
      </w:r>
    </w:p>
    <w:p>
      <w:pPr>
        <w:pStyle w:val="BodyText"/>
      </w:pPr>
      <w:r>
        <w:rPr>
          <w:b/>
        </w:rPr>
        <w:t>Learning analytics:</w:t>
      </w:r>
      <w:r>
        <w:t xml:space="preserve"> The use of learning-process data to describe or support learning. Ekeekrta uses transparent evidence rather than an unexplained prediction score.</w:t>
      </w:r>
    </w:p>
    <w:p>
      <w:pPr>
        <w:pStyle w:val="BodyText"/>
      </w:pPr>
      <w:r>
        <w:rPr>
          <w:b/>
        </w:rPr>
        <w:t>Role-based access control:</w:t>
      </w:r>
      <w:r>
        <w:t xml:space="preserve"> Server-side permissions based on administrator, HOD, faculty and student responsibilities.</w:t>
      </w:r>
    </w:p>
    <w:p>
      <w:pPr>
        <w:pStyle w:val="BodyText"/>
      </w:pPr>
      <w:r>
        <w:rPr>
          <w:b/>
        </w:rPr>
        <w:t>ERP interoperability:</w:t>
      </w:r>
      <w:r>
        <w:t xml:space="preserve"> Reviewed data exchange between Ekeekrta and the institution's official academic system.</w:t>
      </w:r>
    </w:p>
    <w:p>
      <w:pPr>
        <w:pStyle w:val="BodyText"/>
      </w:pPr>
      <w:r>
        <w:rPr>
          <w:b/>
        </w:rPr>
        <w:t>Auditable AI assistance:</w:t>
      </w:r>
      <w:r>
        <w:t xml:space="preserve"> AI-supported drafts or recommendations that preserve sources, evidence, confirmation and action history.</w:t>
      </w:r>
    </w:p>
    <w:p>
      <w:pPr>
        <w:pStyle w:val="BodyText"/>
      </w:pPr>
      <w:r>
        <w:rPr>
          <w:b/>
        </w:rPr>
        <w:t>Gamification:</w:t>
      </w:r>
      <w:r>
        <w:t xml:space="preserve"> The use of game-design elements such as points, badges, levels, feedback and challenges in a non-game learning process.</w:t>
      </w:r>
    </w:p>
    <w:p>
      <w:pPr>
        <w:pStyle w:val="BodyText"/>
      </w:pPr>
      <w:r>
        <w:rPr>
          <w:b/>
        </w:rPr>
        <w:t>Programming assessment:</w:t>
      </w:r>
      <w:r>
        <w:t xml:space="preserve"> A controlled code-execution workflow that runs submitted programs against defined test cases and reports verifiable results.</w:t>
      </w:r>
    </w:p>
    <w:p>
      <w:pPr>
        <w:pStyle w:val="Heading2"/>
        <w:keepNext/>
      </w:pPr>
      <w:r>
        <w:t>1.4 Complete Ekeekrta feature scope</w:t>
      </w:r>
    </w:p>
    <w:p>
      <w:pPr>
        <w:pStyle w:val="ListBullet"/>
      </w:pPr>
      <w:r>
        <w:t>Institution onboarding and branding: university registration, logo and profile, platform-operator review, institution status and themes.</w:t>
      </w:r>
    </w:p>
    <w:p>
      <w:pPr>
        <w:pStyle w:val="ListBullet"/>
      </w:pPr>
      <w:r>
        <w:t>Identity and access: password login, optional Google college sign-in, password recovery, administrator-created accounts, bulk CSV accounts and server-enforced administrator, HOD, faculty and student permissions.</w:t>
      </w:r>
    </w:p>
    <w:p>
      <w:pPr>
        <w:pStyle w:val="ListBullet"/>
      </w:pPr>
      <w:r>
        <w:t>Academic structure: departments, HOD assignment, academic and non-academic courses, program, year, semester, batch and section targeting.</w:t>
      </w:r>
    </w:p>
    <w:p>
      <w:pPr>
        <w:pStyle w:val="ListBullet"/>
      </w:pPr>
      <w:r>
        <w:t>Course workspace: enrolment, faculty roster, removal from a course, syllabus, notes, study materials, examinations and previous-year questions.</w:t>
      </w:r>
    </w:p>
    <w:p>
      <w:pPr>
        <w:pStyle w:val="ListBullet"/>
      </w:pPr>
      <w:r>
        <w:t>Assessment: assignments, URL submissions, grading, multiple-choice quizzes, instant scoring, programming compiler/test cases and marks viewing.</w:t>
      </w:r>
    </w:p>
    <w:p>
      <w:pPr>
        <w:pStyle w:val="ListBullet"/>
      </w:pPr>
      <w:r>
        <w:t>Teaching schedule: course calendar, timetable, assignment deadlines, optional class scheduling and a course-level session history.</w:t>
      </w:r>
    </w:p>
    <w:p>
      <w:pPr>
        <w:pStyle w:val="ListBullet"/>
      </w:pPr>
      <w:r>
        <w:t>Virtual classroom: authenticated Jitsi room, audio, screen sharing, chat, participant list, hand raising, controlled fullscreen, end-for-everyone and disconnect diagnostics.</w:t>
      </w:r>
    </w:p>
    <w:p>
      <w:pPr>
        <w:pStyle w:val="ListBullet"/>
      </w:pPr>
      <w:r>
        <w:t>Attendance: real join and leave timestamps, minimum-duration policy, course and aggregate percentages, at-risk indicators and ERP synchronization.</w:t>
      </w:r>
    </w:p>
    <w:p>
      <w:pPr>
        <w:pStyle w:val="ListBullet"/>
      </w:pPr>
      <w:r>
        <w:t>Role dashboards: separate student, faculty, HOD and administrator workspaces with institution, department, course and individual data boundaries.</w:t>
      </w:r>
    </w:p>
    <w:p>
      <w:pPr>
        <w:pStyle w:val="ListBullet"/>
      </w:pPr>
      <w:r>
        <w:t>ERP interoperability: reviewed user import, course export, attendance export, idempotent delivery, encrypted credentials and a dummy ERP for controlled testing.</w:t>
      </w:r>
    </w:p>
    <w:p>
      <w:pPr>
        <w:pStyle w:val="ListBullet"/>
      </w:pPr>
      <w:r>
        <w:t>Native AI support: command review, course-grounded Q&amp;A, faculty-reviewed lecture notes, CGPA roadmap, progress intelligence and institution-administration assistance.</w:t>
      </w:r>
    </w:p>
    <w:p>
      <w:pPr>
        <w:pStyle w:val="ListBullet"/>
      </w:pPr>
      <w:r>
        <w:t>Gamification: current Top-10 leaderboard interface and a proposed verified points, badges, streaks, levels and collaborative-challenge engine.</w:t>
      </w:r>
    </w:p>
    <w:p>
      <w:pPr>
        <w:pStyle w:val="Heading1"/>
        <w:keepNext/>
      </w:pPr>
      <w:r>
        <w:t>2. Review Method</w:t>
      </w:r>
    </w:p>
    <w:p>
      <w:pPr>
        <w:pStyle w:val="BodyText"/>
      </w:pPr>
      <w:r>
        <w:t>This is a structured narrative literature survey prepared for project review, not a PRISMA systematic review. Searches were conducted up to 25 September 2026 using publisher pages and scholarly indexes including SpringerLink, ScienceDirect, IEEE Xplore, ACL Anthology and PubMed. Priority was given to peer-reviewed systematic reviews, meta-analyses and directly relevant empirical studies.</w:t>
      </w:r>
    </w:p>
    <w:p>
      <w:pPr>
        <w:pStyle w:val="Heading2"/>
        <w:keepNext/>
      </w:pPr>
      <w:r>
        <w:t>2.1 Inclusion criteria</w:t>
      </w:r>
    </w:p>
    <w:p>
      <w:pPr>
        <w:pStyle w:val="ListBullet"/>
      </w:pPr>
      <w:r>
        <w:t>Higher-education or technology-enhanced learning context.</w:t>
      </w:r>
    </w:p>
    <w:p>
      <w:pPr>
        <w:pStyle w:val="ListBullet"/>
      </w:pPr>
      <w:r>
        <w:t>Direct relevance to at least one Ekeekrta feature family: e-learning quality, access control, virtual classrooms, attendance, assessment, programming feedback, resources, analytics, AI, gamification or ERP integration.</w:t>
      </w:r>
    </w:p>
    <w:p>
      <w:pPr>
        <w:pStyle w:val="ListBullet"/>
      </w:pPr>
      <w:r>
        <w:t>A clear research method and an identifiable limitation or future-work statement.</w:t>
      </w:r>
    </w:p>
    <w:p>
      <w:pPr>
        <w:pStyle w:val="ListBullet"/>
      </w:pPr>
      <w:r>
        <w:t>Preference for open-access papers and DOI-verifiable publication records.</w:t>
      </w:r>
    </w:p>
    <w:p>
      <w:pPr>
        <w:pStyle w:val="Heading2"/>
        <w:keepNext/>
      </w:pPr>
      <w:r>
        <w:t>2.2 Exclusion criteria</w:t>
      </w:r>
    </w:p>
    <w:p>
      <w:pPr>
        <w:pStyle w:val="ListBullet"/>
      </w:pPr>
      <w:r>
        <w:t>Marketing pages, unsourced product comparisons and non-academic claims.</w:t>
      </w:r>
    </w:p>
    <w:p>
      <w:pPr>
        <w:pStyle w:val="ListBullet"/>
      </w:pPr>
      <w:r>
        <w:t>Studies whose context could not be connected to the university feature under review.</w:t>
      </w:r>
    </w:p>
    <w:p>
      <w:pPr>
        <w:pStyle w:val="ListBullet"/>
      </w:pPr>
      <w:r>
        <w:t>Claims of system capacity or learning improvement without measured evidence.</w:t>
      </w:r>
    </w:p>
    <w:p>
      <w:pPr>
        <w:pStyle w:val="Heading1"/>
        <w:keepNext/>
      </w:pPr>
      <w:r>
        <w:t>3. Chronological Literature Survey</w:t>
      </w:r>
    </w:p>
    <w:p>
      <w:pPr>
        <w:spacing w:after="60"/>
      </w:pPr>
      <w:r>
        <w:rPr>
          <w:b/>
          <w:color w:val="15451C"/>
        </w:rPr>
        <w:t>1996  Sandhu et al. - Role-based access control</w:t>
      </w:r>
    </w:p>
    <w:p>
      <w:pPr>
        <w:pStyle w:val="ListBullet"/>
      </w:pPr>
      <w:r>
        <w:t>Method: Reference-model paper defining permissions through organizational roles.</w:t>
      </w:r>
    </w:p>
    <w:p>
      <w:pPr>
        <w:pStyle w:val="ListBullet"/>
      </w:pPr>
      <w:r>
        <w:t>Finding and gap: Roles simplify permission administration, but applications still need constraints and correct assignment of users to responsibilities.</w:t>
      </w:r>
    </w:p>
    <w:p>
      <w:pPr>
        <w:pStyle w:val="ListBullet"/>
      </w:pPr>
      <w:r>
        <w:t>Design response: Enforce administrator, HOD, faculty and student permissions on the server and combine them with institution, department and course ownership checks.</w:t>
      </w:r>
    </w:p>
    <w:p>
      <w:pPr>
        <w:spacing w:after="60"/>
      </w:pPr>
      <w:r>
        <w:rPr>
          <w:b/>
          <w:color w:val="15451C"/>
        </w:rPr>
        <w:t>2018  Keuning et al. - Programming assessment</w:t>
      </w:r>
    </w:p>
    <w:p>
      <w:pPr>
        <w:pStyle w:val="ListBullet"/>
      </w:pPr>
      <w:r>
        <w:t>Method: Systematic review classifying automated feedback from 101 programming tools.</w:t>
      </w:r>
    </w:p>
    <w:p>
      <w:pPr>
        <w:pStyle w:val="ListBullet"/>
      </w:pPr>
      <w:r>
        <w:t>Finding and gap: Most tools identify mistakes more often than they explain how to fix them or take a next step; teacher adaptability is limited.</w:t>
      </w:r>
    </w:p>
    <w:p>
      <w:pPr>
        <w:pStyle w:val="ListBullet"/>
      </w:pPr>
      <w:r>
        <w:t>Design response: Execute code against explicit test cases, expose results and retain faculty control over assessment design and grading policy.</w:t>
      </w:r>
    </w:p>
    <w:p>
      <w:pPr>
        <w:spacing w:after="60"/>
      </w:pPr>
      <w:r>
        <w:rPr>
          <w:b/>
          <w:color w:val="15451C"/>
        </w:rPr>
        <w:t>2019  Zawacki-Richter et al. - AI in higher education</w:t>
      </w:r>
    </w:p>
    <w:p>
      <w:pPr>
        <w:pStyle w:val="ListBullet"/>
      </w:pPr>
      <w:r>
        <w:t>Method: Systematic review of 146 studies from 2,656 records.</w:t>
      </w:r>
    </w:p>
    <w:p>
      <w:pPr>
        <w:pStyle w:val="ListBullet"/>
      </w:pPr>
      <w:r>
        <w:t>Finding and gap: AI research clustered around prediction, assessment, personalization and tutoring. Critical reflection, pedagogical grounding and educator involvement were limited.</w:t>
      </w:r>
    </w:p>
    <w:p>
      <w:pPr>
        <w:pStyle w:val="ListBullet"/>
      </w:pPr>
      <w:r>
        <w:t>Design response: Human review, source grounding, role controls and audit records must be part of the AI workflow.</w:t>
      </w:r>
    </w:p>
    <w:p>
      <w:pPr>
        <w:spacing w:after="60"/>
      </w:pPr>
      <w:r>
        <w:rPr>
          <w:b/>
          <w:color w:val="15451C"/>
        </w:rPr>
        <w:t>2020  Al-Fraihat et al. - E-learning system success</w:t>
      </w:r>
    </w:p>
    <w:p>
      <w:pPr>
        <w:pStyle w:val="ListBullet"/>
      </w:pPr>
      <w:r>
        <w:t>Method: PLS-SEM validation with 563 university students.</w:t>
      </w:r>
    </w:p>
    <w:p>
      <w:pPr>
        <w:pStyle w:val="ListBullet"/>
      </w:pPr>
      <w:r>
        <w:t>Finding and gap: System, information, service, support, learner and instructor quality influence usefulness and satisfaction; one system feature cannot explain overall success.</w:t>
      </w:r>
    </w:p>
    <w:p>
      <w:pPr>
        <w:pStyle w:val="ListBullet"/>
      </w:pPr>
      <w:r>
        <w:t>Design response: Evaluate Ekeekrta as a complete service covering reliability, content quality, support, usability and user outcomes.</w:t>
      </w:r>
    </w:p>
    <w:p>
      <w:pPr>
        <w:spacing w:after="60"/>
      </w:pPr>
      <w:r>
        <w:rPr>
          <w:b/>
          <w:color w:val="15451C"/>
        </w:rPr>
        <w:t>2020  Sailer &amp; Homner - Gamification</w:t>
      </w:r>
    </w:p>
    <w:p>
      <w:pPr>
        <w:pStyle w:val="ListBullet"/>
      </w:pPr>
      <w:r>
        <w:t>Method: Meta-analysis covering cognitive, motivational and behavioral outcomes.</w:t>
      </w:r>
    </w:p>
    <w:p>
      <w:pPr>
        <w:pStyle w:val="ListBullet"/>
      </w:pPr>
      <w:r>
        <w:t>Finding and gap: Average effects were positive but small; motivational and behavioral effects were less stable, and design moderators mattered.</w:t>
      </w:r>
    </w:p>
    <w:p>
      <w:pPr>
        <w:pStyle w:val="ListBullet"/>
      </w:pPr>
      <w:r>
        <w:t>Design response: Ekeekrta should pilot theory-grounded game elements and measure outcomes rather than assume a leaderboard improves learning.</w:t>
      </w:r>
    </w:p>
    <w:p>
      <w:pPr>
        <w:spacing w:after="60"/>
      </w:pPr>
      <w:r>
        <w:rPr>
          <w:b/>
          <w:color w:val="15451C"/>
        </w:rPr>
        <w:t>2020  Deschenes - Learning-resource recommendation</w:t>
      </w:r>
    </w:p>
    <w:p>
      <w:pPr>
        <w:pStyle w:val="ListBullet"/>
      </w:pPr>
      <w:r>
        <w:t>Method: Systematic review of 56 retained studies.</w:t>
      </w:r>
    </w:p>
    <w:p>
      <w:pPr>
        <w:pStyle w:val="ListBullet"/>
      </w:pPr>
      <w:r>
        <w:t>Finding and gap: Most evaluations were positive, but approaches and evaluation settings varied; learner agency and transparent study selection remain important.</w:t>
      </w:r>
    </w:p>
    <w:p>
      <w:pPr>
        <w:pStyle w:val="ListBullet"/>
      </w:pPr>
      <w:r>
        <w:t>Design response: Recommendations should use learner goals and faculty-approved course context, show sources, and remain optional.</w:t>
      </w:r>
    </w:p>
    <w:p>
      <w:pPr>
        <w:spacing w:after="60"/>
      </w:pPr>
      <w:r>
        <w:rPr>
          <w:b/>
          <w:color w:val="15451C"/>
        </w:rPr>
        <w:t>2021  Fabriz et al. - Synchronous learning</w:t>
      </w:r>
    </w:p>
    <w:p>
      <w:pPr>
        <w:pStyle w:val="ListBullet"/>
      </w:pPr>
      <w:r>
        <w:t>Method: Survey of 3,056 students and 396 teachers at a German university.</w:t>
      </w:r>
    </w:p>
    <w:p>
      <w:pPr>
        <w:pStyle w:val="ListBullet"/>
      </w:pPr>
      <w:r>
        <w:t>Finding and gap: Predominantly synchronous settings supported more peer-centered activity, relatedness and satisfaction, while teacher perceptions differed from student reports.</w:t>
      </w:r>
    </w:p>
    <w:p>
      <w:pPr>
        <w:pStyle w:val="ListBullet"/>
      </w:pPr>
      <w:r>
        <w:t>Design response: A live classroom should be integrated with asynchronous materials and feedback rather than used as a complete learning solution.</w:t>
      </w:r>
    </w:p>
    <w:p>
      <w:pPr>
        <w:spacing w:after="60"/>
      </w:pPr>
      <w:r>
        <w:rPr>
          <w:b/>
          <w:color w:val="15451C"/>
        </w:rPr>
        <w:t>2022  Lu &amp; Cutumisu - Attendance and formative assessment</w:t>
      </w:r>
    </w:p>
    <w:p>
      <w:pPr>
        <w:pStyle w:val="ListBullet"/>
      </w:pPr>
      <w:r>
        <w:t>Method: Structural-equation analysis of 367 undergraduate Moodle records.</w:t>
      </w:r>
    </w:p>
    <w:p>
      <w:pPr>
        <w:pStyle w:val="ListBullet"/>
      </w:pPr>
      <w:r>
        <w:t>Finding and gap: Attendance did not directly predict the final score after online engagement and formative assessment were included; the mediation model explained substantially more variance.</w:t>
      </w:r>
    </w:p>
    <w:p>
      <w:pPr>
        <w:pStyle w:val="ListBullet"/>
      </w:pPr>
      <w:r>
        <w:t>Design response: Use actual class duration as one signal and combine it with assignments, quizzes and course activity.</w:t>
      </w:r>
    </w:p>
    <w:p>
      <w:pPr>
        <w:spacing w:after="60"/>
      </w:pPr>
      <w:r>
        <w:rPr>
          <w:b/>
          <w:color w:val="15451C"/>
        </w:rPr>
        <w:t>2023  Ramaswami et al. - Learning analytics dashboards</w:t>
      </w:r>
    </w:p>
    <w:p>
      <w:pPr>
        <w:pStyle w:val="ListBullet"/>
      </w:pPr>
      <w:r>
        <w:t>Method: Review of predictive dashboard case studies.</w:t>
      </w:r>
    </w:p>
    <w:p>
      <w:pPr>
        <w:pStyle w:val="ListBullet"/>
      </w:pPr>
      <w:r>
        <w:t>Finding and gap: Most dashboards identified risk without model interpretation or prescriptive guidance; evaluation focused on function and usability more than learning outcomes.</w:t>
      </w:r>
    </w:p>
    <w:p>
      <w:pPr>
        <w:pStyle w:val="ListBullet"/>
      </w:pPr>
      <w:r>
        <w:t>Design response: Return evidence counts, threshold reasons and suggested support actions; keep the result read-only and evaluate it with users.</w:t>
      </w:r>
    </w:p>
    <w:p>
      <w:pPr>
        <w:spacing w:after="60"/>
      </w:pPr>
      <w:r>
        <w:rPr>
          <w:b/>
          <w:color w:val="15451C"/>
        </w:rPr>
        <w:t>2023  Crompton &amp; Burke - AI in higher education</w:t>
      </w:r>
    </w:p>
    <w:p>
      <w:pPr>
        <w:pStyle w:val="ListBullet"/>
      </w:pPr>
      <w:r>
        <w:t>Method: Systematic review of 138 articles published from 2016 to 2022.</w:t>
      </w:r>
    </w:p>
    <w:p>
      <w:pPr>
        <w:pStyle w:val="ListBullet"/>
      </w:pPr>
      <w:r>
        <w:t>Finding and gap: AI supported assessment, prediction, assistants and management of learning, but collective affordances and responsible implementation remained open questions.</w:t>
      </w:r>
    </w:p>
    <w:p>
      <w:pPr>
        <w:pStyle w:val="ListBullet"/>
      </w:pPr>
      <w:r>
        <w:t>Design response: Use AI for bounded support tasks and maintain explicit limits on automatic decisions.</w:t>
      </w:r>
    </w:p>
    <w:p>
      <w:pPr>
        <w:spacing w:after="60"/>
      </w:pPr>
      <w:r>
        <w:rPr>
          <w:b/>
          <w:color w:val="15451C"/>
        </w:rPr>
        <w:t>2023  Khaldi et al. - Gamification in e-learning</w:t>
      </w:r>
    </w:p>
    <w:p>
      <w:pPr>
        <w:pStyle w:val="ListBullet"/>
      </w:pPr>
      <w:r>
        <w:t>Method: Review of 90 papers, including 39 empirical studies.</w:t>
      </w:r>
    </w:p>
    <w:p>
      <w:pPr>
        <w:pStyle w:val="ListBullet"/>
      </w:pPr>
      <w:r>
        <w:t>Finding and gap: Points, badges and leaderboards dominated; only nine empirical studies used motivational theory, and personalization remained limited.</w:t>
      </w:r>
    </w:p>
    <w:p>
      <w:pPr>
        <w:pStyle w:val="ListBullet"/>
      </w:pPr>
      <w:r>
        <w:t>Design response: Build a rules-based, auditable gamification layer tied to verified learning events and student choice.</w:t>
      </w:r>
    </w:p>
    <w:p>
      <w:pPr>
        <w:spacing w:after="60"/>
      </w:pPr>
      <w:r>
        <w:rPr>
          <w:b/>
          <w:color w:val="15451C"/>
        </w:rPr>
        <w:t>2024  Bond et al. - Ethical and contextual AI</w:t>
      </w:r>
    </w:p>
    <w:p>
      <w:pPr>
        <w:pStyle w:val="ListBullet"/>
      </w:pPr>
      <w:r>
        <w:t>Method: Meta-review of 66 evidence syntheses.</w:t>
      </w:r>
    </w:p>
    <w:p>
      <w:pPr>
        <w:pStyle w:val="ListBullet"/>
      </w:pPr>
      <w:r>
        <w:t>Finding and gap: Research emphasized teaching and learning, while administrative uses, ethics, context and methodological rigor received less attention.</w:t>
      </w:r>
    </w:p>
    <w:p>
      <w:pPr>
        <w:pStyle w:val="ListBullet"/>
      </w:pPr>
      <w:r>
        <w:t>Design response: Apply institution and role boundaries, protect data, record actions and test every AI feature in its real university context.</w:t>
      </w:r>
    </w:p>
    <w:p>
      <w:pPr>
        <w:spacing w:after="60"/>
      </w:pPr>
      <w:r>
        <w:rPr>
          <w:b/>
          <w:color w:val="15451C"/>
        </w:rPr>
        <w:t>2024  e Silva et al. - Handwriting assessment</w:t>
      </w:r>
    </w:p>
    <w:p>
      <w:pPr>
        <w:pStyle w:val="ListBullet"/>
      </w:pPr>
      <w:r>
        <w:t>Method: Two-decade review; 22 relevant assessment studies retained from 491 papers.</w:t>
      </w:r>
    </w:p>
    <w:p>
      <w:pPr>
        <w:pStyle w:val="ListBullet"/>
      </w:pPr>
      <w:r>
        <w:t>Finding and gap: Reported technical performance was promising, but datasets, educational contexts, validation and low-cost deployment varied.</w:t>
      </w:r>
    </w:p>
    <w:p>
      <w:pPr>
        <w:pStyle w:val="ListBullet"/>
      </w:pPr>
      <w:r>
        <w:t>Design response: Treat handwriting/OCR as future research using approved institutional data and teacher validation, not as a completed feature.</w:t>
      </w:r>
    </w:p>
    <w:p>
      <w:pPr>
        <w:spacing w:after="60"/>
      </w:pPr>
      <w:r>
        <w:rPr>
          <w:b/>
          <w:color w:val="15451C"/>
        </w:rPr>
        <w:t>2025  Sholeh et al. - ERP in higher education</w:t>
      </w:r>
    </w:p>
    <w:p>
      <w:pPr>
        <w:pStyle w:val="ListBullet"/>
      </w:pPr>
      <w:r>
        <w:t>Method: Systematic review of 37 papers.</w:t>
      </w:r>
    </w:p>
    <w:p>
      <w:pPr>
        <w:pStyle w:val="ListBullet"/>
      </w:pPr>
      <w:r>
        <w:t>Finding and gap: ERP can improve efficiency and decisions, but complexity, infrastructure and organizational resistance remain major barriers.</w:t>
      </w:r>
    </w:p>
    <w:p>
      <w:pPr>
        <w:pStyle w:val="ListBullet"/>
      </w:pPr>
      <w:r>
        <w:t>Design response: Use an adapter contract, administrator review, idempotent events, retry history and phased rollout instead of direct uncontrolled synchronization.</w:t>
      </w:r>
    </w:p>
    <w:p>
      <w:pPr>
        <w:sectPr>
          <w:footerReference w:type="default" r:id="rId9"/>
          <w:pgSz w:w="12240" w:h="15840"/>
          <w:pgMar w:top="964" w:right="1020" w:bottom="850" w:left="1020" w:header="720" w:footer="720" w:gutter="0"/>
          <w:cols w:space="720"/>
          <w:docGrid w:linePitch="360"/>
        </w:sectPr>
      </w:pPr>
    </w:p>
    <w:p>
      <w:pPr>
        <w:pStyle w:val="Heading1"/>
        <w:keepNext/>
      </w:pPr>
      <w:r>
        <w:t>4. Feature-to-Evidence-to-Solution Matrix</w:t>
      </w:r>
    </w:p>
    <w:tbl>
      <w:tblPr>
        <w:tblStyle w:val="TableGrid"/>
        <w:tblW w:type="auto" w:w="0"/>
        <w:jc w:val="center"/>
        <w:tblLook w:firstColumn="1" w:firstRow="1" w:lastColumn="0" w:lastRow="0" w:noHBand="0" w:noVBand="1" w:val="04A0"/>
      </w:tblPr>
      <w:tblGrid>
        <w:gridCol w:w="2896"/>
        <w:gridCol w:w="2896"/>
        <w:gridCol w:w="2896"/>
        <w:gridCol w:w="2896"/>
        <w:gridCol w:w="2896"/>
      </w:tblGrid>
      <w:tr>
        <w:trPr>
          <w:tblHeader w:val="true"/>
        </w:trPr>
        <w:tc>
          <w:tcPr>
            <w:tcW w:type="dxa" w:w="2896"/>
            <w:shd w:fill="2F8F3A"/>
            <w:tcMar>
              <w:top w:w="70" w:type="dxa"/>
              <w:start w:w="70" w:type="dxa"/>
              <w:bottom w:w="70" w:type="dxa"/>
              <w:end w:w="70" w:type="dxa"/>
            </w:tcMar>
          </w:tcPr>
          <w:p>
            <w:r>
              <w:rPr>
                <w:b/>
                <w:color w:val="FFFFFF"/>
                <w:sz w:val="17"/>
              </w:rPr>
              <w:t>Feature</w:t>
            </w:r>
          </w:p>
        </w:tc>
        <w:tc>
          <w:tcPr>
            <w:tcW w:type="dxa" w:w="2896"/>
            <w:shd w:fill="2F8F3A"/>
            <w:tcMar>
              <w:top w:w="70" w:type="dxa"/>
              <w:start w:w="70" w:type="dxa"/>
              <w:bottom w:w="70" w:type="dxa"/>
              <w:end w:w="70" w:type="dxa"/>
            </w:tcMar>
          </w:tcPr>
          <w:p>
            <w:r>
              <w:rPr>
                <w:b/>
                <w:color w:val="FFFFFF"/>
                <w:sz w:val="17"/>
              </w:rPr>
              <w:t>Research basis</w:t>
            </w:r>
          </w:p>
        </w:tc>
        <w:tc>
          <w:tcPr>
            <w:tcW w:type="dxa" w:w="2896"/>
            <w:shd w:fill="2F8F3A"/>
            <w:tcMar>
              <w:top w:w="70" w:type="dxa"/>
              <w:start w:w="70" w:type="dxa"/>
              <w:bottom w:w="70" w:type="dxa"/>
              <w:end w:w="70" w:type="dxa"/>
            </w:tcMar>
          </w:tcPr>
          <w:p>
            <w:r>
              <w:rPr>
                <w:b/>
                <w:color w:val="FFFFFF"/>
                <w:sz w:val="17"/>
              </w:rPr>
              <w:t>Gap in literature</w:t>
            </w:r>
          </w:p>
        </w:tc>
        <w:tc>
          <w:tcPr>
            <w:tcW w:type="dxa" w:w="2896"/>
            <w:shd w:fill="2F8F3A"/>
            <w:tcMar>
              <w:top w:w="70" w:type="dxa"/>
              <w:start w:w="70" w:type="dxa"/>
              <w:bottom w:w="70" w:type="dxa"/>
              <w:end w:w="70" w:type="dxa"/>
            </w:tcMar>
          </w:tcPr>
          <w:p>
            <w:r>
              <w:rPr>
                <w:b/>
                <w:color w:val="FFFFFF"/>
                <w:sz w:val="17"/>
              </w:rPr>
              <w:t>Ekeekrta solution</w:t>
            </w:r>
          </w:p>
        </w:tc>
        <w:tc>
          <w:tcPr>
            <w:tcW w:type="dxa" w:w="2896"/>
            <w:shd w:fill="2F8F3A"/>
            <w:tcMar>
              <w:top w:w="70" w:type="dxa"/>
              <w:start w:w="70" w:type="dxa"/>
              <w:bottom w:w="70" w:type="dxa"/>
              <w:end w:w="70" w:type="dxa"/>
            </w:tcMar>
          </w:tcPr>
          <w:p>
            <w:r>
              <w:rPr>
                <w:b/>
                <w:color w:val="FFFFFF"/>
                <w:sz w:val="17"/>
              </w:rPr>
              <w:t>Project status</w:t>
            </w:r>
          </w:p>
        </w:tc>
      </w:tr>
      <w:tr>
        <w:tc>
          <w:tcPr>
            <w:tcW w:type="dxa" w:w="2896"/>
            <w:shd w:fill="FFFFFF"/>
            <w:tcMar>
              <w:top w:w="55" w:type="dxa"/>
              <w:start w:w="55" w:type="dxa"/>
              <w:bottom w:w="55" w:type="dxa"/>
              <w:end w:w="55" w:type="dxa"/>
            </w:tcMar>
            <w:vAlign w:val="top"/>
          </w:tcPr>
          <w:p>
            <w:r>
              <w:rPr>
                <w:rFonts w:ascii="Aptos" w:hAnsi="Aptos"/>
                <w:sz w:val="15"/>
              </w:rPr>
              <w:t>Institution onboarding, branding and themes</w:t>
            </w:r>
          </w:p>
        </w:tc>
        <w:tc>
          <w:tcPr>
            <w:tcW w:type="dxa" w:w="2896"/>
            <w:shd w:fill="FFFFFF"/>
            <w:tcMar>
              <w:top w:w="55" w:type="dxa"/>
              <w:start w:w="55" w:type="dxa"/>
              <w:bottom w:w="55" w:type="dxa"/>
              <w:end w:w="55" w:type="dxa"/>
            </w:tcMar>
            <w:vAlign w:val="top"/>
          </w:tcPr>
          <w:p>
            <w:r>
              <w:rPr>
                <w:rFonts w:ascii="Aptos" w:hAnsi="Aptos"/>
                <w:sz w:val="15"/>
              </w:rPr>
              <w:t>Al-Fraihat et al. (2020)</w:t>
            </w:r>
          </w:p>
        </w:tc>
        <w:tc>
          <w:tcPr>
            <w:tcW w:type="dxa" w:w="2896"/>
            <w:shd w:fill="FFFFFF"/>
            <w:tcMar>
              <w:top w:w="55" w:type="dxa"/>
              <w:start w:w="55" w:type="dxa"/>
              <w:bottom w:w="55" w:type="dxa"/>
              <w:end w:w="55" w:type="dxa"/>
            </w:tcMar>
            <w:vAlign w:val="top"/>
          </w:tcPr>
          <w:p>
            <w:r>
              <w:rPr>
                <w:rFonts w:ascii="Aptos" w:hAnsi="Aptos"/>
                <w:sz w:val="15"/>
              </w:rPr>
              <w:t>E-learning success depends on technical, information, service and support quality rather than a single feature.</w:t>
            </w:r>
          </w:p>
        </w:tc>
        <w:tc>
          <w:tcPr>
            <w:tcW w:type="dxa" w:w="2896"/>
            <w:shd w:fill="FFFFFF"/>
            <w:tcMar>
              <w:top w:w="55" w:type="dxa"/>
              <w:start w:w="55" w:type="dxa"/>
              <w:bottom w:w="55" w:type="dxa"/>
              <w:end w:w="55" w:type="dxa"/>
            </w:tcMar>
            <w:vAlign w:val="top"/>
          </w:tcPr>
          <w:p>
            <w:r>
              <w:rPr>
                <w:rFonts w:ascii="Aptos" w:hAnsi="Aptos"/>
                <w:sz w:val="15"/>
              </w:rPr>
              <w:t>Isolated institution profile, logo, official domain, approval state, configurable theme and dedicated portal identity.</w:t>
            </w:r>
          </w:p>
        </w:tc>
        <w:tc>
          <w:tcPr>
            <w:tcW w:type="dxa" w:w="2896"/>
            <w:shd w:fill="FFFFFF"/>
            <w:tcMar>
              <w:top w:w="55" w:type="dxa"/>
              <w:start w:w="55" w:type="dxa"/>
              <w:bottom w:w="55" w:type="dxa"/>
              <w:end w:w="55" w:type="dxa"/>
            </w:tcMar>
            <w:vAlign w:val="top"/>
          </w:tcPr>
          <w:p>
            <w:r>
              <w:rPr>
                <w:rFonts w:ascii="Aptos" w:hAnsi="Aptos"/>
                <w:sz w:val="15"/>
              </w:rPr>
              <w:t>Built.</w:t>
            </w:r>
          </w:p>
        </w:tc>
      </w:tr>
      <w:tr>
        <w:tc>
          <w:tcPr>
            <w:tcW w:type="dxa" w:w="2896"/>
            <w:shd w:fill="F3F5F2"/>
            <w:tcMar>
              <w:top w:w="55" w:type="dxa"/>
              <w:start w:w="55" w:type="dxa"/>
              <w:bottom w:w="55" w:type="dxa"/>
              <w:end w:w="55" w:type="dxa"/>
            </w:tcMar>
            <w:vAlign w:val="top"/>
          </w:tcPr>
          <w:p>
            <w:r>
              <w:rPr>
                <w:rFonts w:ascii="Aptos" w:hAnsi="Aptos"/>
                <w:sz w:val="15"/>
              </w:rPr>
              <w:t>Authentication and role access</w:t>
            </w:r>
          </w:p>
        </w:tc>
        <w:tc>
          <w:tcPr>
            <w:tcW w:type="dxa" w:w="2896"/>
            <w:shd w:fill="F3F5F2"/>
            <w:tcMar>
              <w:top w:w="55" w:type="dxa"/>
              <w:start w:w="55" w:type="dxa"/>
              <w:bottom w:w="55" w:type="dxa"/>
              <w:end w:w="55" w:type="dxa"/>
            </w:tcMar>
            <w:vAlign w:val="top"/>
          </w:tcPr>
          <w:p>
            <w:r>
              <w:rPr>
                <w:rFonts w:ascii="Aptos" w:hAnsi="Aptos"/>
                <w:sz w:val="15"/>
              </w:rPr>
              <w:t>Sandhu et al. (1996)</w:t>
            </w:r>
          </w:p>
        </w:tc>
        <w:tc>
          <w:tcPr>
            <w:tcW w:type="dxa" w:w="2896"/>
            <w:shd w:fill="F3F5F2"/>
            <w:tcMar>
              <w:top w:w="55" w:type="dxa"/>
              <w:start w:w="55" w:type="dxa"/>
              <w:bottom w:w="55" w:type="dxa"/>
              <w:end w:w="55" w:type="dxa"/>
            </w:tcMar>
            <w:vAlign w:val="top"/>
          </w:tcPr>
          <w:p>
            <w:r>
              <w:rPr>
                <w:rFonts w:ascii="Aptos" w:hAnsi="Aptos"/>
                <w:sz w:val="15"/>
              </w:rPr>
              <w:t>Role models simplify permissions, but application-specific constraints must stop privilege escalation and cross-scope access.</w:t>
            </w:r>
          </w:p>
        </w:tc>
        <w:tc>
          <w:tcPr>
            <w:tcW w:type="dxa" w:w="2896"/>
            <w:shd w:fill="F3F5F2"/>
            <w:tcMar>
              <w:top w:w="55" w:type="dxa"/>
              <w:start w:w="55" w:type="dxa"/>
              <w:bottom w:w="55" w:type="dxa"/>
              <w:end w:w="55" w:type="dxa"/>
            </w:tcMar>
            <w:vAlign w:val="top"/>
          </w:tcPr>
          <w:p>
            <w:r>
              <w:rPr>
                <w:rFonts w:ascii="Aptos" w:hAnsi="Aptos"/>
                <w:sz w:val="15"/>
              </w:rPr>
              <w:t>Password and optional Google sign-in, recovery, JWT sessions and server checks for institution, role, department, course and record ownership.</w:t>
            </w:r>
          </w:p>
        </w:tc>
        <w:tc>
          <w:tcPr>
            <w:tcW w:type="dxa" w:w="2896"/>
            <w:shd w:fill="F3F5F2"/>
            <w:tcMar>
              <w:top w:w="55" w:type="dxa"/>
              <w:start w:w="55" w:type="dxa"/>
              <w:bottom w:w="55" w:type="dxa"/>
              <w:end w:w="55" w:type="dxa"/>
            </w:tcMar>
            <w:vAlign w:val="top"/>
          </w:tcPr>
          <w:p>
            <w:r>
              <w:rPr>
                <w:rFonts w:ascii="Aptos" w:hAnsi="Aptos"/>
                <w:sz w:val="15"/>
              </w:rPr>
              <w:t>Built; Google and email require operator configuration.</w:t>
            </w:r>
          </w:p>
        </w:tc>
      </w:tr>
      <w:tr>
        <w:tc>
          <w:tcPr>
            <w:tcW w:type="dxa" w:w="2896"/>
            <w:shd w:fill="FFFFFF"/>
            <w:tcMar>
              <w:top w:w="55" w:type="dxa"/>
              <w:start w:w="55" w:type="dxa"/>
              <w:bottom w:w="55" w:type="dxa"/>
              <w:end w:w="55" w:type="dxa"/>
            </w:tcMar>
            <w:vAlign w:val="top"/>
          </w:tcPr>
          <w:p>
            <w:r>
              <w:rPr>
                <w:rFonts w:ascii="Aptos" w:hAnsi="Aptos"/>
                <w:sz w:val="15"/>
              </w:rPr>
              <w:t>Account and academic administration</w:t>
            </w:r>
          </w:p>
        </w:tc>
        <w:tc>
          <w:tcPr>
            <w:tcW w:type="dxa" w:w="2896"/>
            <w:shd w:fill="FFFFFF"/>
            <w:tcMar>
              <w:top w:w="55" w:type="dxa"/>
              <w:start w:w="55" w:type="dxa"/>
              <w:bottom w:w="55" w:type="dxa"/>
              <w:end w:w="55" w:type="dxa"/>
            </w:tcMar>
            <w:vAlign w:val="top"/>
          </w:tcPr>
          <w:p>
            <w:r>
              <w:rPr>
                <w:rFonts w:ascii="Aptos" w:hAnsi="Aptos"/>
                <w:sz w:val="15"/>
              </w:rPr>
              <w:t>Sandhu et al. (1996); Al-Fraihat et al. (2020)</w:t>
            </w:r>
          </w:p>
        </w:tc>
        <w:tc>
          <w:tcPr>
            <w:tcW w:type="dxa" w:w="2896"/>
            <w:shd w:fill="FFFFFF"/>
            <w:tcMar>
              <w:top w:w="55" w:type="dxa"/>
              <w:start w:w="55" w:type="dxa"/>
              <w:bottom w:w="55" w:type="dxa"/>
              <w:end w:w="55" w:type="dxa"/>
            </w:tcMar>
            <w:vAlign w:val="top"/>
          </w:tcPr>
          <w:p>
            <w:r>
              <w:rPr>
                <w:rFonts w:ascii="Aptos" w:hAnsi="Aptos"/>
                <w:sz w:val="15"/>
              </w:rPr>
              <w:t>Administrative quality and support affect adoption; broad roles alone do not express departmental or course responsibility.</w:t>
            </w:r>
          </w:p>
        </w:tc>
        <w:tc>
          <w:tcPr>
            <w:tcW w:type="dxa" w:w="2896"/>
            <w:shd w:fill="FFFFFF"/>
            <w:tcMar>
              <w:top w:w="55" w:type="dxa"/>
              <w:start w:w="55" w:type="dxa"/>
              <w:bottom w:w="55" w:type="dxa"/>
              <w:end w:w="55" w:type="dxa"/>
            </w:tcMar>
            <w:vAlign w:val="top"/>
          </w:tcPr>
          <w:p>
            <w:r>
              <w:rPr>
                <w:rFonts w:ascii="Aptos" w:hAnsi="Aptos"/>
                <w:sz w:val="15"/>
              </w:rPr>
              <w:t>Manual and bulk accounts, departments, HOD assignment, cohort fields and platform-operator institution lifecycle controls.</w:t>
            </w:r>
          </w:p>
        </w:tc>
        <w:tc>
          <w:tcPr>
            <w:tcW w:type="dxa" w:w="2896"/>
            <w:shd w:fill="FFFFFF"/>
            <w:tcMar>
              <w:top w:w="55" w:type="dxa"/>
              <w:start w:w="55" w:type="dxa"/>
              <w:bottom w:w="55" w:type="dxa"/>
              <w:end w:w="55" w:type="dxa"/>
            </w:tcMar>
            <w:vAlign w:val="top"/>
          </w:tcPr>
          <w:p>
            <w:r>
              <w:rPr>
                <w:rFonts w:ascii="Aptos" w:hAnsi="Aptos"/>
                <w:sz w:val="15"/>
              </w:rPr>
              <w:t>Built.</w:t>
            </w:r>
          </w:p>
        </w:tc>
      </w:tr>
      <w:tr>
        <w:tc>
          <w:tcPr>
            <w:tcW w:type="dxa" w:w="2896"/>
            <w:shd w:fill="F3F5F2"/>
            <w:tcMar>
              <w:top w:w="55" w:type="dxa"/>
              <w:start w:w="55" w:type="dxa"/>
              <w:bottom w:w="55" w:type="dxa"/>
              <w:end w:w="55" w:type="dxa"/>
            </w:tcMar>
            <w:vAlign w:val="top"/>
          </w:tcPr>
          <w:p>
            <w:r>
              <w:rPr>
                <w:rFonts w:ascii="Aptos" w:hAnsi="Aptos"/>
                <w:sz w:val="15"/>
              </w:rPr>
              <w:t>Courses, enrolment and course pages</w:t>
            </w:r>
          </w:p>
        </w:tc>
        <w:tc>
          <w:tcPr>
            <w:tcW w:type="dxa" w:w="2896"/>
            <w:shd w:fill="F3F5F2"/>
            <w:tcMar>
              <w:top w:w="55" w:type="dxa"/>
              <w:start w:w="55" w:type="dxa"/>
              <w:bottom w:w="55" w:type="dxa"/>
              <w:end w:w="55" w:type="dxa"/>
            </w:tcMar>
            <w:vAlign w:val="top"/>
          </w:tcPr>
          <w:p>
            <w:r>
              <w:rPr>
                <w:rFonts w:ascii="Aptos" w:hAnsi="Aptos"/>
                <w:sz w:val="15"/>
              </w:rPr>
              <w:t>Al-Fraihat et al. (2020)</w:t>
            </w:r>
          </w:p>
        </w:tc>
        <w:tc>
          <w:tcPr>
            <w:tcW w:type="dxa" w:w="2896"/>
            <w:shd w:fill="F3F5F2"/>
            <w:tcMar>
              <w:top w:w="55" w:type="dxa"/>
              <w:start w:w="55" w:type="dxa"/>
              <w:bottom w:w="55" w:type="dxa"/>
              <w:end w:w="55" w:type="dxa"/>
            </w:tcMar>
            <w:vAlign w:val="top"/>
          </w:tcPr>
          <w:p>
            <w:r>
              <w:rPr>
                <w:rFonts w:ascii="Aptos" w:hAnsi="Aptos"/>
                <w:sz w:val="15"/>
              </w:rPr>
              <w:t>Useful e-learning requires reliable system, information and instructor quality across the whole course experience.</w:t>
            </w:r>
          </w:p>
        </w:tc>
        <w:tc>
          <w:tcPr>
            <w:tcW w:type="dxa" w:w="2896"/>
            <w:shd w:fill="F3F5F2"/>
            <w:tcMar>
              <w:top w:w="55" w:type="dxa"/>
              <w:start w:w="55" w:type="dxa"/>
              <w:bottom w:w="55" w:type="dxa"/>
              <w:end w:w="55" w:type="dxa"/>
            </w:tcMar>
            <w:vAlign w:val="top"/>
          </w:tcPr>
          <w:p>
            <w:r>
              <w:rPr>
                <w:rFonts w:ascii="Aptos" w:hAnsi="Aptos"/>
                <w:sz w:val="15"/>
              </w:rPr>
              <w:t>Academic/non-academic course types, semester targeting, self-enrolment where allowed, faculty roster/removal and one workspace per course.</w:t>
            </w:r>
          </w:p>
        </w:tc>
        <w:tc>
          <w:tcPr>
            <w:tcW w:type="dxa" w:w="2896"/>
            <w:shd w:fill="F3F5F2"/>
            <w:tcMar>
              <w:top w:w="55" w:type="dxa"/>
              <w:start w:w="55" w:type="dxa"/>
              <w:bottom w:w="55" w:type="dxa"/>
              <w:end w:w="55" w:type="dxa"/>
            </w:tcMar>
            <w:vAlign w:val="top"/>
          </w:tcPr>
          <w:p>
            <w:r>
              <w:rPr>
                <w:rFonts w:ascii="Aptos" w:hAnsi="Aptos"/>
                <w:sz w:val="15"/>
              </w:rPr>
              <w:t>Built.</w:t>
            </w:r>
          </w:p>
        </w:tc>
      </w:tr>
      <w:tr>
        <w:tc>
          <w:tcPr>
            <w:tcW w:type="dxa" w:w="2896"/>
            <w:shd w:fill="FFFFFF"/>
            <w:tcMar>
              <w:top w:w="55" w:type="dxa"/>
              <w:start w:w="55" w:type="dxa"/>
              <w:bottom w:w="55" w:type="dxa"/>
              <w:end w:w="55" w:type="dxa"/>
            </w:tcMar>
            <w:vAlign w:val="top"/>
          </w:tcPr>
          <w:p>
            <w:r>
              <w:rPr>
                <w:rFonts w:ascii="Aptos" w:hAnsi="Aptos"/>
                <w:sz w:val="15"/>
              </w:rPr>
              <w:t>Assignments, quizzes and grading</w:t>
            </w:r>
          </w:p>
        </w:tc>
        <w:tc>
          <w:tcPr>
            <w:tcW w:type="dxa" w:w="2896"/>
            <w:shd w:fill="FFFFFF"/>
            <w:tcMar>
              <w:top w:w="55" w:type="dxa"/>
              <w:start w:w="55" w:type="dxa"/>
              <w:bottom w:w="55" w:type="dxa"/>
              <w:end w:w="55" w:type="dxa"/>
            </w:tcMar>
            <w:vAlign w:val="top"/>
          </w:tcPr>
          <w:p>
            <w:r>
              <w:rPr>
                <w:rFonts w:ascii="Aptos" w:hAnsi="Aptos"/>
                <w:sz w:val="15"/>
              </w:rPr>
              <w:t>Lu &amp; Cutumisu (2022); Nayak et al. (2024)</w:t>
            </w:r>
          </w:p>
        </w:tc>
        <w:tc>
          <w:tcPr>
            <w:tcW w:type="dxa" w:w="2896"/>
            <w:shd w:fill="FFFFFF"/>
            <w:tcMar>
              <w:top w:w="55" w:type="dxa"/>
              <w:start w:w="55" w:type="dxa"/>
              <w:bottom w:w="55" w:type="dxa"/>
              <w:end w:w="55" w:type="dxa"/>
            </w:tcMar>
            <w:vAlign w:val="top"/>
          </w:tcPr>
          <w:p>
            <w:r>
              <w:rPr>
                <w:rFonts w:ascii="Aptos" w:hAnsi="Aptos"/>
                <w:sz w:val="15"/>
              </w:rPr>
              <w:t>Formative assessment supports performance; automated text assessment still needs trustworthy validation and feedback design.</w:t>
            </w:r>
          </w:p>
        </w:tc>
        <w:tc>
          <w:tcPr>
            <w:tcW w:type="dxa" w:w="2896"/>
            <w:shd w:fill="FFFFFF"/>
            <w:tcMar>
              <w:top w:w="55" w:type="dxa"/>
              <w:start w:w="55" w:type="dxa"/>
              <w:bottom w:w="55" w:type="dxa"/>
              <w:end w:w="55" w:type="dxa"/>
            </w:tcMar>
            <w:vAlign w:val="top"/>
          </w:tcPr>
          <w:p>
            <w:r>
              <w:rPr>
                <w:rFonts w:ascii="Aptos" w:hAnsi="Aptos"/>
                <w:sz w:val="15"/>
              </w:rPr>
              <w:t>Course-scoped assignments, URL submissions, faculty grading, MCQ quiz builder and instant server-side scoring without pre-exposing answers.</w:t>
            </w:r>
          </w:p>
        </w:tc>
        <w:tc>
          <w:tcPr>
            <w:tcW w:type="dxa" w:w="2896"/>
            <w:shd w:fill="FFFFFF"/>
            <w:tcMar>
              <w:top w:w="55" w:type="dxa"/>
              <w:start w:w="55" w:type="dxa"/>
              <w:bottom w:w="55" w:type="dxa"/>
              <w:end w:w="55" w:type="dxa"/>
            </w:tcMar>
            <w:vAlign w:val="top"/>
          </w:tcPr>
          <w:p>
            <w:r>
              <w:rPr>
                <w:rFonts w:ascii="Aptos" w:hAnsi="Aptos"/>
                <w:sz w:val="15"/>
              </w:rPr>
              <w:t>Built; automated long-answer marking is future work.</w:t>
            </w:r>
          </w:p>
        </w:tc>
      </w:tr>
      <w:tr>
        <w:tc>
          <w:tcPr>
            <w:tcW w:type="dxa" w:w="2896"/>
            <w:shd w:fill="F3F5F2"/>
            <w:tcMar>
              <w:top w:w="55" w:type="dxa"/>
              <w:start w:w="55" w:type="dxa"/>
              <w:bottom w:w="55" w:type="dxa"/>
              <w:end w:w="55" w:type="dxa"/>
            </w:tcMar>
            <w:vAlign w:val="top"/>
          </w:tcPr>
          <w:p>
            <w:r>
              <w:rPr>
                <w:rFonts w:ascii="Aptos" w:hAnsi="Aptos"/>
                <w:sz w:val="15"/>
              </w:rPr>
              <w:t>Programming assessment</w:t>
            </w:r>
          </w:p>
        </w:tc>
        <w:tc>
          <w:tcPr>
            <w:tcW w:type="dxa" w:w="2896"/>
            <w:shd w:fill="F3F5F2"/>
            <w:tcMar>
              <w:top w:w="55" w:type="dxa"/>
              <w:start w:w="55" w:type="dxa"/>
              <w:bottom w:w="55" w:type="dxa"/>
              <w:end w:w="55" w:type="dxa"/>
            </w:tcMar>
            <w:vAlign w:val="top"/>
          </w:tcPr>
          <w:p>
            <w:r>
              <w:rPr>
                <w:rFonts w:ascii="Aptos" w:hAnsi="Aptos"/>
                <w:sz w:val="15"/>
              </w:rPr>
              <w:t>Keuning et al. (2018)</w:t>
            </w:r>
          </w:p>
        </w:tc>
        <w:tc>
          <w:tcPr>
            <w:tcW w:type="dxa" w:w="2896"/>
            <w:shd w:fill="F3F5F2"/>
            <w:tcMar>
              <w:top w:w="55" w:type="dxa"/>
              <w:start w:w="55" w:type="dxa"/>
              <w:bottom w:w="55" w:type="dxa"/>
              <w:end w:w="55" w:type="dxa"/>
            </w:tcMar>
            <w:vAlign w:val="top"/>
          </w:tcPr>
          <w:p>
            <w:r>
              <w:rPr>
                <w:rFonts w:ascii="Aptos" w:hAnsi="Aptos"/>
                <w:sz w:val="15"/>
              </w:rPr>
              <w:t>Automated tools often identify errors without enough next-step feedback and offer limited teacher adaptation.</w:t>
            </w:r>
          </w:p>
        </w:tc>
        <w:tc>
          <w:tcPr>
            <w:tcW w:type="dxa" w:w="2896"/>
            <w:shd w:fill="F3F5F2"/>
            <w:tcMar>
              <w:top w:w="55" w:type="dxa"/>
              <w:start w:w="55" w:type="dxa"/>
              <w:bottom w:w="55" w:type="dxa"/>
              <w:end w:w="55" w:type="dxa"/>
            </w:tcMar>
            <w:vAlign w:val="top"/>
          </w:tcPr>
          <w:p>
            <w:r>
              <w:rPr>
                <w:rFonts w:ascii="Aptos" w:hAnsi="Aptos"/>
                <w:sz w:val="15"/>
              </w:rPr>
              <w:t>Controlled compiler execution, faculty-defined test cases, recorded results and course-specific programming tasks.</w:t>
            </w:r>
          </w:p>
        </w:tc>
        <w:tc>
          <w:tcPr>
            <w:tcW w:type="dxa" w:w="2896"/>
            <w:shd w:fill="F3F5F2"/>
            <w:tcMar>
              <w:top w:w="55" w:type="dxa"/>
              <w:start w:w="55" w:type="dxa"/>
              <w:bottom w:w="55" w:type="dxa"/>
              <w:end w:w="55" w:type="dxa"/>
            </w:tcMar>
            <w:vAlign w:val="top"/>
          </w:tcPr>
          <w:p>
            <w:r>
              <w:rPr>
                <w:rFonts w:ascii="Aptos" w:hAnsi="Aptos"/>
                <w:sz w:val="15"/>
              </w:rPr>
              <w:t>Built; deeper adaptive feedback remains future work.</w:t>
            </w:r>
          </w:p>
        </w:tc>
      </w:tr>
      <w:tr>
        <w:tc>
          <w:tcPr>
            <w:tcW w:type="dxa" w:w="2896"/>
            <w:shd w:fill="FFFFFF"/>
            <w:tcMar>
              <w:top w:w="55" w:type="dxa"/>
              <w:start w:w="55" w:type="dxa"/>
              <w:bottom w:w="55" w:type="dxa"/>
              <w:end w:w="55" w:type="dxa"/>
            </w:tcMar>
            <w:vAlign w:val="top"/>
          </w:tcPr>
          <w:p>
            <w:r>
              <w:rPr>
                <w:rFonts w:ascii="Aptos" w:hAnsi="Aptos"/>
                <w:sz w:val="15"/>
              </w:rPr>
              <w:t>Notes, syllabus, examinations and PYQs</w:t>
            </w:r>
          </w:p>
        </w:tc>
        <w:tc>
          <w:tcPr>
            <w:tcW w:type="dxa" w:w="2896"/>
            <w:shd w:fill="FFFFFF"/>
            <w:tcMar>
              <w:top w:w="55" w:type="dxa"/>
              <w:start w:w="55" w:type="dxa"/>
              <w:bottom w:w="55" w:type="dxa"/>
              <w:end w:w="55" w:type="dxa"/>
            </w:tcMar>
            <w:vAlign w:val="top"/>
          </w:tcPr>
          <w:p>
            <w:r>
              <w:rPr>
                <w:rFonts w:ascii="Aptos" w:hAnsi="Aptos"/>
                <w:sz w:val="15"/>
              </w:rPr>
              <w:t>Deschenes (2020); Al-Fraihat et al. (2020)</w:t>
            </w:r>
          </w:p>
        </w:tc>
        <w:tc>
          <w:tcPr>
            <w:tcW w:type="dxa" w:w="2896"/>
            <w:shd w:fill="FFFFFF"/>
            <w:tcMar>
              <w:top w:w="55" w:type="dxa"/>
              <w:start w:w="55" w:type="dxa"/>
              <w:bottom w:w="55" w:type="dxa"/>
              <w:end w:w="55" w:type="dxa"/>
            </w:tcMar>
            <w:vAlign w:val="top"/>
          </w:tcPr>
          <w:p>
            <w:r>
              <w:rPr>
                <w:rFonts w:ascii="Aptos" w:hAnsi="Aptos"/>
                <w:sz w:val="15"/>
              </w:rPr>
              <w:t>Information quality and learner agency matter; recommendations vary widely in evidence and context.</w:t>
            </w:r>
          </w:p>
        </w:tc>
        <w:tc>
          <w:tcPr>
            <w:tcW w:type="dxa" w:w="2896"/>
            <w:shd w:fill="FFFFFF"/>
            <w:tcMar>
              <w:top w:w="55" w:type="dxa"/>
              <w:start w:w="55" w:type="dxa"/>
              <w:bottom w:w="55" w:type="dxa"/>
              <w:end w:w="55" w:type="dxa"/>
            </w:tcMar>
            <w:vAlign w:val="top"/>
          </w:tcPr>
          <w:p>
            <w:r>
              <w:rPr>
                <w:rFonts w:ascii="Aptos" w:hAnsi="Aptos"/>
                <w:sz w:val="15"/>
              </w:rPr>
              <w:t>Faculty/admin-curated course resources with categories and course-grounded Q&amp;A with source references.</w:t>
            </w:r>
          </w:p>
        </w:tc>
        <w:tc>
          <w:tcPr>
            <w:tcW w:type="dxa" w:w="2896"/>
            <w:shd w:fill="FFFFFF"/>
            <w:tcMar>
              <w:top w:w="55" w:type="dxa"/>
              <w:start w:w="55" w:type="dxa"/>
              <w:bottom w:w="55" w:type="dxa"/>
              <w:end w:w="55" w:type="dxa"/>
            </w:tcMar>
            <w:vAlign w:val="top"/>
          </w:tcPr>
          <w:p>
            <w:r>
              <w:rPr>
                <w:rFonts w:ascii="Aptos" w:hAnsi="Aptos"/>
                <w:sz w:val="15"/>
              </w:rPr>
              <w:t>Built; open-web recommendation remains planned.</w:t>
            </w:r>
          </w:p>
        </w:tc>
      </w:tr>
      <w:tr>
        <w:tc>
          <w:tcPr>
            <w:tcW w:type="dxa" w:w="2896"/>
            <w:shd w:fill="F3F5F2"/>
            <w:tcMar>
              <w:top w:w="55" w:type="dxa"/>
              <w:start w:w="55" w:type="dxa"/>
              <w:bottom w:w="55" w:type="dxa"/>
              <w:end w:w="55" w:type="dxa"/>
            </w:tcMar>
            <w:vAlign w:val="top"/>
          </w:tcPr>
          <w:p>
            <w:r>
              <w:rPr>
                <w:rFonts w:ascii="Aptos" w:hAnsi="Aptos"/>
                <w:sz w:val="15"/>
              </w:rPr>
              <w:t>Calendar, timetable and scheduling</w:t>
            </w:r>
          </w:p>
        </w:tc>
        <w:tc>
          <w:tcPr>
            <w:tcW w:type="dxa" w:w="2896"/>
            <w:shd w:fill="F3F5F2"/>
            <w:tcMar>
              <w:top w:w="55" w:type="dxa"/>
              <w:start w:w="55" w:type="dxa"/>
              <w:bottom w:w="55" w:type="dxa"/>
              <w:end w:w="55" w:type="dxa"/>
            </w:tcMar>
            <w:vAlign w:val="top"/>
          </w:tcPr>
          <w:p>
            <w:r>
              <w:rPr>
                <w:rFonts w:ascii="Aptos" w:hAnsi="Aptos"/>
                <w:sz w:val="15"/>
              </w:rPr>
              <w:t>Al-Fraihat et al. (2020)</w:t>
            </w:r>
          </w:p>
        </w:tc>
        <w:tc>
          <w:tcPr>
            <w:tcW w:type="dxa" w:w="2896"/>
            <w:shd w:fill="F3F5F2"/>
            <w:tcMar>
              <w:top w:w="55" w:type="dxa"/>
              <w:start w:w="55" w:type="dxa"/>
              <w:bottom w:w="55" w:type="dxa"/>
              <w:end w:w="55" w:type="dxa"/>
            </w:tcMar>
            <w:vAlign w:val="top"/>
          </w:tcPr>
          <w:p>
            <w:r>
              <w:rPr>
                <w:rFonts w:ascii="Aptos" w:hAnsi="Aptos"/>
                <w:sz w:val="15"/>
              </w:rPr>
              <w:t>A usable system must organize relevant information and support tasks without fragmented navigation.</w:t>
            </w:r>
          </w:p>
        </w:tc>
        <w:tc>
          <w:tcPr>
            <w:tcW w:type="dxa" w:w="2896"/>
            <w:shd w:fill="F3F5F2"/>
            <w:tcMar>
              <w:top w:w="55" w:type="dxa"/>
              <w:start w:w="55" w:type="dxa"/>
              <w:bottom w:w="55" w:type="dxa"/>
              <w:end w:w="55" w:type="dxa"/>
            </w:tcMar>
            <w:vAlign w:val="top"/>
          </w:tcPr>
          <w:p>
            <w:r>
              <w:rPr>
                <w:rFonts w:ascii="Aptos" w:hAnsi="Aptos"/>
                <w:sz w:val="15"/>
              </w:rPr>
              <w:t>Role-specific calendar, assignment deadlines, scheduled classes and course-level upcoming-session display.</w:t>
            </w:r>
          </w:p>
        </w:tc>
        <w:tc>
          <w:tcPr>
            <w:tcW w:type="dxa" w:w="2896"/>
            <w:shd w:fill="F3F5F2"/>
            <w:tcMar>
              <w:top w:w="55" w:type="dxa"/>
              <w:start w:w="55" w:type="dxa"/>
              <w:bottom w:w="55" w:type="dxa"/>
              <w:end w:w="55" w:type="dxa"/>
            </w:tcMar>
            <w:vAlign w:val="top"/>
          </w:tcPr>
          <w:p>
            <w:r>
              <w:rPr>
                <w:rFonts w:ascii="Aptos" w:hAnsi="Aptos"/>
                <w:sz w:val="15"/>
              </w:rPr>
              <w:t>Built.</w:t>
            </w:r>
          </w:p>
        </w:tc>
      </w:tr>
      <w:tr>
        <w:tc>
          <w:tcPr>
            <w:tcW w:type="dxa" w:w="2896"/>
            <w:shd w:fill="FFFFFF"/>
            <w:tcMar>
              <w:top w:w="55" w:type="dxa"/>
              <w:start w:w="55" w:type="dxa"/>
              <w:bottom w:w="55" w:type="dxa"/>
              <w:end w:w="55" w:type="dxa"/>
            </w:tcMar>
            <w:vAlign w:val="top"/>
          </w:tcPr>
          <w:p>
            <w:r>
              <w:rPr>
                <w:rFonts w:ascii="Aptos" w:hAnsi="Aptos"/>
                <w:sz w:val="15"/>
              </w:rPr>
              <w:t>Live classroom</w:t>
            </w:r>
          </w:p>
        </w:tc>
        <w:tc>
          <w:tcPr>
            <w:tcW w:type="dxa" w:w="2896"/>
            <w:shd w:fill="FFFFFF"/>
            <w:tcMar>
              <w:top w:w="55" w:type="dxa"/>
              <w:start w:w="55" w:type="dxa"/>
              <w:bottom w:w="55" w:type="dxa"/>
              <w:end w:w="55" w:type="dxa"/>
            </w:tcMar>
            <w:vAlign w:val="top"/>
          </w:tcPr>
          <w:p>
            <w:r>
              <w:rPr>
                <w:rFonts w:ascii="Aptos" w:hAnsi="Aptos"/>
                <w:sz w:val="15"/>
              </w:rPr>
              <w:t>Fabriz et al. (2021)</w:t>
            </w:r>
          </w:p>
        </w:tc>
        <w:tc>
          <w:tcPr>
            <w:tcW w:type="dxa" w:w="2896"/>
            <w:shd w:fill="FFFFFF"/>
            <w:tcMar>
              <w:top w:w="55" w:type="dxa"/>
              <w:start w:w="55" w:type="dxa"/>
              <w:bottom w:w="55" w:type="dxa"/>
              <w:end w:w="55" w:type="dxa"/>
            </w:tcMar>
            <w:vAlign w:val="top"/>
          </w:tcPr>
          <w:p>
            <w:r>
              <w:rPr>
                <w:rFonts w:ascii="Aptos" w:hAnsi="Aptos"/>
                <w:sz w:val="15"/>
              </w:rPr>
              <w:t>Synchronous learning can strengthen interaction and relatedness, but it does not replace asynchronous learning.</w:t>
            </w:r>
          </w:p>
        </w:tc>
        <w:tc>
          <w:tcPr>
            <w:tcW w:type="dxa" w:w="2896"/>
            <w:shd w:fill="FFFFFF"/>
            <w:tcMar>
              <w:top w:w="55" w:type="dxa"/>
              <w:start w:w="55" w:type="dxa"/>
              <w:bottom w:w="55" w:type="dxa"/>
              <w:end w:w="55" w:type="dxa"/>
            </w:tcMar>
            <w:vAlign w:val="top"/>
          </w:tcPr>
          <w:p>
            <w:r>
              <w:rPr>
                <w:rFonts w:ascii="Aptos" w:hAnsi="Aptos"/>
                <w:sz w:val="15"/>
              </w:rPr>
              <w:t>Authenticated Jitsi room with audio, screen share, chat, participants, hand raise, controlled fullscreen, explicit end and diagnostics, linked to the course workspace.</w:t>
            </w:r>
          </w:p>
        </w:tc>
        <w:tc>
          <w:tcPr>
            <w:tcW w:type="dxa" w:w="2896"/>
            <w:shd w:fill="FFFFFF"/>
            <w:tcMar>
              <w:top w:w="55" w:type="dxa"/>
              <w:start w:w="55" w:type="dxa"/>
              <w:bottom w:w="55" w:type="dxa"/>
              <w:end w:w="55" w:type="dxa"/>
            </w:tcMar>
            <w:vAlign w:val="top"/>
          </w:tcPr>
          <w:p>
            <w:r>
              <w:rPr>
                <w:rFonts w:ascii="Aptos" w:hAnsi="Aptos"/>
                <w:sz w:val="15"/>
              </w:rPr>
              <w:t>Built with JaaS for testing; production capacity remains unverified.</w:t>
            </w:r>
          </w:p>
        </w:tc>
      </w:tr>
      <w:tr>
        <w:tc>
          <w:tcPr>
            <w:tcW w:type="dxa" w:w="2896"/>
            <w:shd w:fill="F3F5F2"/>
            <w:tcMar>
              <w:top w:w="55" w:type="dxa"/>
              <w:start w:w="55" w:type="dxa"/>
              <w:bottom w:w="55" w:type="dxa"/>
              <w:end w:w="55" w:type="dxa"/>
            </w:tcMar>
            <w:vAlign w:val="top"/>
          </w:tcPr>
          <w:p>
            <w:r>
              <w:rPr>
                <w:rFonts w:ascii="Aptos" w:hAnsi="Aptos"/>
                <w:sz w:val="15"/>
              </w:rPr>
              <w:t>Automatic attendance</w:t>
            </w:r>
          </w:p>
        </w:tc>
        <w:tc>
          <w:tcPr>
            <w:tcW w:type="dxa" w:w="2896"/>
            <w:shd w:fill="F3F5F2"/>
            <w:tcMar>
              <w:top w:w="55" w:type="dxa"/>
              <w:start w:w="55" w:type="dxa"/>
              <w:bottom w:w="55" w:type="dxa"/>
              <w:end w:w="55" w:type="dxa"/>
            </w:tcMar>
            <w:vAlign w:val="top"/>
          </w:tcPr>
          <w:p>
            <w:r>
              <w:rPr>
                <w:rFonts w:ascii="Aptos" w:hAnsi="Aptos"/>
                <w:sz w:val="15"/>
              </w:rPr>
              <w:t>Lu &amp; Cutumisu (2022)</w:t>
            </w:r>
          </w:p>
        </w:tc>
        <w:tc>
          <w:tcPr>
            <w:tcW w:type="dxa" w:w="2896"/>
            <w:shd w:fill="F3F5F2"/>
            <w:tcMar>
              <w:top w:w="55" w:type="dxa"/>
              <w:start w:w="55" w:type="dxa"/>
              <w:bottom w:w="55" w:type="dxa"/>
              <w:end w:w="55" w:type="dxa"/>
            </w:tcMar>
            <w:vAlign w:val="top"/>
          </w:tcPr>
          <w:p>
            <w:r>
              <w:rPr>
                <w:rFonts w:ascii="Aptos" w:hAnsi="Aptos"/>
                <w:sz w:val="15"/>
              </w:rPr>
              <w:t>Attendance alone is an incomplete academic indicator.</w:t>
            </w:r>
          </w:p>
        </w:tc>
        <w:tc>
          <w:tcPr>
            <w:tcW w:type="dxa" w:w="2896"/>
            <w:shd w:fill="F3F5F2"/>
            <w:tcMar>
              <w:top w:w="55" w:type="dxa"/>
              <w:start w:w="55" w:type="dxa"/>
              <w:bottom w:w="55" w:type="dxa"/>
              <w:end w:w="55" w:type="dxa"/>
            </w:tcMar>
            <w:vAlign w:val="top"/>
          </w:tcPr>
          <w:p>
            <w:r>
              <w:rPr>
                <w:rFonts w:ascii="Aptos" w:hAnsi="Aptos"/>
                <w:sz w:val="15"/>
              </w:rPr>
              <w:t>Actual join-leave duration plus assessment and engagement evidence.</w:t>
            </w:r>
          </w:p>
        </w:tc>
        <w:tc>
          <w:tcPr>
            <w:tcW w:type="dxa" w:w="2896"/>
            <w:shd w:fill="F3F5F2"/>
            <w:tcMar>
              <w:top w:w="55" w:type="dxa"/>
              <w:start w:w="55" w:type="dxa"/>
              <w:bottom w:w="55" w:type="dxa"/>
              <w:end w:w="55" w:type="dxa"/>
            </w:tcMar>
            <w:vAlign w:val="top"/>
          </w:tcPr>
          <w:p>
            <w:r>
              <w:rPr>
                <w:rFonts w:ascii="Aptos" w:hAnsi="Aptos"/>
                <w:sz w:val="15"/>
              </w:rPr>
              <w:t>Built.</w:t>
            </w:r>
          </w:p>
        </w:tc>
      </w:tr>
      <w:tr>
        <w:tc>
          <w:tcPr>
            <w:tcW w:type="dxa" w:w="2896"/>
            <w:shd w:fill="FFFFFF"/>
            <w:tcMar>
              <w:top w:w="55" w:type="dxa"/>
              <w:start w:w="55" w:type="dxa"/>
              <w:bottom w:w="55" w:type="dxa"/>
              <w:end w:w="55" w:type="dxa"/>
            </w:tcMar>
            <w:vAlign w:val="top"/>
          </w:tcPr>
          <w:p>
            <w:r>
              <w:rPr>
                <w:rFonts w:ascii="Aptos" w:hAnsi="Aptos"/>
                <w:sz w:val="15"/>
              </w:rPr>
              <w:t>Role dashboards, marks and at-risk support</w:t>
            </w:r>
          </w:p>
        </w:tc>
        <w:tc>
          <w:tcPr>
            <w:tcW w:type="dxa" w:w="2896"/>
            <w:shd w:fill="FFFFFF"/>
            <w:tcMar>
              <w:top w:w="55" w:type="dxa"/>
              <w:start w:w="55" w:type="dxa"/>
              <w:bottom w:w="55" w:type="dxa"/>
              <w:end w:w="55" w:type="dxa"/>
            </w:tcMar>
            <w:vAlign w:val="top"/>
          </w:tcPr>
          <w:p>
            <w:r>
              <w:rPr>
                <w:rFonts w:ascii="Aptos" w:hAnsi="Aptos"/>
                <w:sz w:val="15"/>
              </w:rPr>
              <w:t>Ramaswami et al. (2023); Heikkinen et al. (2023)</w:t>
            </w:r>
          </w:p>
        </w:tc>
        <w:tc>
          <w:tcPr>
            <w:tcW w:type="dxa" w:w="2896"/>
            <w:shd w:fill="FFFFFF"/>
            <w:tcMar>
              <w:top w:w="55" w:type="dxa"/>
              <w:start w:w="55" w:type="dxa"/>
              <w:bottom w:w="55" w:type="dxa"/>
              <w:end w:w="55" w:type="dxa"/>
            </w:tcMar>
            <w:vAlign w:val="top"/>
          </w:tcPr>
          <w:p>
            <w:r>
              <w:rPr>
                <w:rFonts w:ascii="Aptos" w:hAnsi="Aptos"/>
                <w:sz w:val="15"/>
              </w:rPr>
              <w:t>Dashboards often emphasize prediction or visualization without explanation, self-regulation support or evaluated action.</w:t>
            </w:r>
          </w:p>
        </w:tc>
        <w:tc>
          <w:tcPr>
            <w:tcW w:type="dxa" w:w="2896"/>
            <w:shd w:fill="FFFFFF"/>
            <w:tcMar>
              <w:top w:w="55" w:type="dxa"/>
              <w:start w:w="55" w:type="dxa"/>
              <w:bottom w:w="55" w:type="dxa"/>
              <w:end w:w="55" w:type="dxa"/>
            </w:tcMar>
            <w:vAlign w:val="top"/>
          </w:tcPr>
          <w:p>
            <w:r>
              <w:rPr>
                <w:rFonts w:ascii="Aptos" w:hAnsi="Aptos"/>
                <w:sz w:val="15"/>
              </w:rPr>
              <w:t>Student, faculty, HOD and administrator dashboards with scoped evidence, attendance, marks, reasons and suggested support actions.</w:t>
            </w:r>
          </w:p>
        </w:tc>
        <w:tc>
          <w:tcPr>
            <w:tcW w:type="dxa" w:w="2896"/>
            <w:shd w:fill="FFFFFF"/>
            <w:tcMar>
              <w:top w:w="55" w:type="dxa"/>
              <w:start w:w="55" w:type="dxa"/>
              <w:bottom w:w="55" w:type="dxa"/>
              <w:end w:w="55" w:type="dxa"/>
            </w:tcMar>
            <w:vAlign w:val="top"/>
          </w:tcPr>
          <w:p>
            <w:r>
              <w:rPr>
                <w:rFonts w:ascii="Aptos" w:hAnsi="Aptos"/>
                <w:sz w:val="15"/>
              </w:rPr>
              <w:t>Built.</w:t>
            </w:r>
          </w:p>
        </w:tc>
      </w:tr>
      <w:tr>
        <w:tc>
          <w:tcPr>
            <w:tcW w:type="dxa" w:w="2896"/>
            <w:shd w:fill="F3F5F2"/>
            <w:tcMar>
              <w:top w:w="55" w:type="dxa"/>
              <w:start w:w="55" w:type="dxa"/>
              <w:bottom w:w="55" w:type="dxa"/>
              <w:end w:w="55" w:type="dxa"/>
            </w:tcMar>
            <w:vAlign w:val="top"/>
          </w:tcPr>
          <w:p>
            <w:r>
              <w:rPr>
                <w:rFonts w:ascii="Aptos" w:hAnsi="Aptos"/>
                <w:sz w:val="15"/>
              </w:rPr>
              <w:t>Progress intelligence</w:t>
            </w:r>
          </w:p>
        </w:tc>
        <w:tc>
          <w:tcPr>
            <w:tcW w:type="dxa" w:w="2896"/>
            <w:shd w:fill="F3F5F2"/>
            <w:tcMar>
              <w:top w:w="55" w:type="dxa"/>
              <w:start w:w="55" w:type="dxa"/>
              <w:bottom w:w="55" w:type="dxa"/>
              <w:end w:w="55" w:type="dxa"/>
            </w:tcMar>
            <w:vAlign w:val="top"/>
          </w:tcPr>
          <w:p>
            <w:r>
              <w:rPr>
                <w:rFonts w:ascii="Aptos" w:hAnsi="Aptos"/>
                <w:sz w:val="15"/>
              </w:rPr>
              <w:t>Ramaswami et al. (2023)</w:t>
            </w:r>
          </w:p>
        </w:tc>
        <w:tc>
          <w:tcPr>
            <w:tcW w:type="dxa" w:w="2896"/>
            <w:shd w:fill="F3F5F2"/>
            <w:tcMar>
              <w:top w:w="55" w:type="dxa"/>
              <w:start w:w="55" w:type="dxa"/>
              <w:bottom w:w="55" w:type="dxa"/>
              <w:end w:w="55" w:type="dxa"/>
            </w:tcMar>
            <w:vAlign w:val="top"/>
          </w:tcPr>
          <w:p>
            <w:r>
              <w:rPr>
                <w:rFonts w:ascii="Aptos" w:hAnsi="Aptos"/>
                <w:sz w:val="15"/>
              </w:rPr>
              <w:t>Risk dashboards often lack explainability and actionable guidance.</w:t>
            </w:r>
          </w:p>
        </w:tc>
        <w:tc>
          <w:tcPr>
            <w:tcW w:type="dxa" w:w="2896"/>
            <w:shd w:fill="F3F5F2"/>
            <w:tcMar>
              <w:top w:w="55" w:type="dxa"/>
              <w:start w:w="55" w:type="dxa"/>
              <w:bottom w:w="55" w:type="dxa"/>
              <w:end w:w="55" w:type="dxa"/>
            </w:tcMar>
            <w:vAlign w:val="top"/>
          </w:tcPr>
          <w:p>
            <w:r>
              <w:rPr>
                <w:rFonts w:ascii="Aptos" w:hAnsi="Aptos"/>
                <w:sz w:val="15"/>
              </w:rPr>
              <w:t>Transparent levels, threshold reasons, evidence counts and support actions.</w:t>
            </w:r>
          </w:p>
        </w:tc>
        <w:tc>
          <w:tcPr>
            <w:tcW w:type="dxa" w:w="2896"/>
            <w:shd w:fill="F3F5F2"/>
            <w:tcMar>
              <w:top w:w="55" w:type="dxa"/>
              <w:start w:w="55" w:type="dxa"/>
              <w:bottom w:w="55" w:type="dxa"/>
              <w:end w:w="55" w:type="dxa"/>
            </w:tcMar>
            <w:vAlign w:val="top"/>
          </w:tcPr>
          <w:p>
            <w:r>
              <w:rPr>
                <w:rFonts w:ascii="Aptos" w:hAnsi="Aptos"/>
                <w:sz w:val="15"/>
              </w:rPr>
              <w:t>Built and read-only.</w:t>
            </w:r>
          </w:p>
        </w:tc>
      </w:tr>
      <w:tr>
        <w:tc>
          <w:tcPr>
            <w:tcW w:type="dxa" w:w="2896"/>
            <w:shd w:fill="FFFFFF"/>
            <w:tcMar>
              <w:top w:w="55" w:type="dxa"/>
              <w:start w:w="55" w:type="dxa"/>
              <w:bottom w:w="55" w:type="dxa"/>
              <w:end w:w="55" w:type="dxa"/>
            </w:tcMar>
            <w:vAlign w:val="top"/>
          </w:tcPr>
          <w:p>
            <w:r>
              <w:rPr>
                <w:rFonts w:ascii="Aptos" w:hAnsi="Aptos"/>
                <w:sz w:val="15"/>
              </w:rPr>
              <w:t>AI command and content support</w:t>
            </w:r>
          </w:p>
        </w:tc>
        <w:tc>
          <w:tcPr>
            <w:tcW w:type="dxa" w:w="2896"/>
            <w:shd w:fill="FFFFFF"/>
            <w:tcMar>
              <w:top w:w="55" w:type="dxa"/>
              <w:start w:w="55" w:type="dxa"/>
              <w:bottom w:w="55" w:type="dxa"/>
              <w:end w:w="55" w:type="dxa"/>
            </w:tcMar>
            <w:vAlign w:val="top"/>
          </w:tcPr>
          <w:p>
            <w:r>
              <w:rPr>
                <w:rFonts w:ascii="Aptos" w:hAnsi="Aptos"/>
                <w:sz w:val="15"/>
              </w:rPr>
              <w:t>Zawacki-Richter et al. (2019); Bond et al. (2024)</w:t>
            </w:r>
          </w:p>
        </w:tc>
        <w:tc>
          <w:tcPr>
            <w:tcW w:type="dxa" w:w="2896"/>
            <w:shd w:fill="FFFFFF"/>
            <w:tcMar>
              <w:top w:w="55" w:type="dxa"/>
              <w:start w:w="55" w:type="dxa"/>
              <w:bottom w:w="55" w:type="dxa"/>
              <w:end w:w="55" w:type="dxa"/>
            </w:tcMar>
            <w:vAlign w:val="top"/>
          </w:tcPr>
          <w:p>
            <w:r>
              <w:rPr>
                <w:rFonts w:ascii="Aptos" w:hAnsi="Aptos"/>
                <w:sz w:val="15"/>
              </w:rPr>
              <w:t>AI research lacks educator participation, ethics and context.</w:t>
            </w:r>
          </w:p>
        </w:tc>
        <w:tc>
          <w:tcPr>
            <w:tcW w:type="dxa" w:w="2896"/>
            <w:shd w:fill="FFFFFF"/>
            <w:tcMar>
              <w:top w:w="55" w:type="dxa"/>
              <w:start w:w="55" w:type="dxa"/>
              <w:bottom w:w="55" w:type="dxa"/>
              <w:end w:w="55" w:type="dxa"/>
            </w:tcMar>
            <w:vAlign w:val="top"/>
          </w:tcPr>
          <w:p>
            <w:r>
              <w:rPr>
                <w:rFonts w:ascii="Aptos" w:hAnsi="Aptos"/>
                <w:sz w:val="15"/>
              </w:rPr>
              <w:t>Local intent model, grounded drafts, role revalidation, preview-confirmation and audit history.</w:t>
            </w:r>
          </w:p>
        </w:tc>
        <w:tc>
          <w:tcPr>
            <w:tcW w:type="dxa" w:w="2896"/>
            <w:shd w:fill="FFFFFF"/>
            <w:tcMar>
              <w:top w:w="55" w:type="dxa"/>
              <w:start w:w="55" w:type="dxa"/>
              <w:bottom w:w="55" w:type="dxa"/>
              <w:end w:w="55" w:type="dxa"/>
            </w:tcMar>
            <w:vAlign w:val="top"/>
          </w:tcPr>
          <w:p>
            <w:r>
              <w:rPr>
                <w:rFonts w:ascii="Aptos" w:hAnsi="Aptos"/>
                <w:sz w:val="15"/>
              </w:rPr>
              <w:t>Built for bounded workflows.</w:t>
            </w:r>
          </w:p>
        </w:tc>
      </w:tr>
      <w:tr>
        <w:tc>
          <w:tcPr>
            <w:tcW w:type="dxa" w:w="2896"/>
            <w:shd w:fill="F3F5F2"/>
            <w:tcMar>
              <w:top w:w="55" w:type="dxa"/>
              <w:start w:w="55" w:type="dxa"/>
              <w:bottom w:w="55" w:type="dxa"/>
              <w:end w:w="55" w:type="dxa"/>
            </w:tcMar>
            <w:vAlign w:val="top"/>
          </w:tcPr>
          <w:p>
            <w:r>
              <w:rPr>
                <w:rFonts w:ascii="Aptos" w:hAnsi="Aptos"/>
                <w:sz w:val="15"/>
              </w:rPr>
              <w:t>CGPA roadmap</w:t>
            </w:r>
          </w:p>
        </w:tc>
        <w:tc>
          <w:tcPr>
            <w:tcW w:type="dxa" w:w="2896"/>
            <w:shd w:fill="F3F5F2"/>
            <w:tcMar>
              <w:top w:w="55" w:type="dxa"/>
              <w:start w:w="55" w:type="dxa"/>
              <w:bottom w:w="55" w:type="dxa"/>
              <w:end w:w="55" w:type="dxa"/>
            </w:tcMar>
            <w:vAlign w:val="top"/>
          </w:tcPr>
          <w:p>
            <w:r>
              <w:rPr>
                <w:rFonts w:ascii="Aptos" w:hAnsi="Aptos"/>
                <w:sz w:val="15"/>
              </w:rPr>
              <w:t>Heikkinen et al. (2023); Ramaswami et al. (2023)</w:t>
            </w:r>
          </w:p>
        </w:tc>
        <w:tc>
          <w:tcPr>
            <w:tcW w:type="dxa" w:w="2896"/>
            <w:shd w:fill="F3F5F2"/>
            <w:tcMar>
              <w:top w:w="55" w:type="dxa"/>
              <w:start w:w="55" w:type="dxa"/>
              <w:bottom w:w="55" w:type="dxa"/>
              <w:end w:w="55" w:type="dxa"/>
            </w:tcMar>
            <w:vAlign w:val="top"/>
          </w:tcPr>
          <w:p>
            <w:r>
              <w:rPr>
                <w:rFonts w:ascii="Aptos" w:hAnsi="Aptos"/>
                <w:sz w:val="15"/>
              </w:rPr>
              <w:t>Analytics should support self-regulation and specific actions, not only identify risk.</w:t>
            </w:r>
          </w:p>
        </w:tc>
        <w:tc>
          <w:tcPr>
            <w:tcW w:type="dxa" w:w="2896"/>
            <w:shd w:fill="F3F5F2"/>
            <w:tcMar>
              <w:top w:w="55" w:type="dxa"/>
              <w:start w:w="55" w:type="dxa"/>
              <w:bottom w:w="55" w:type="dxa"/>
              <w:end w:w="55" w:type="dxa"/>
            </w:tcMar>
            <w:vAlign w:val="top"/>
          </w:tcPr>
          <w:p>
            <w:r>
              <w:rPr>
                <w:rFonts w:ascii="Aptos" w:hAnsi="Aptos"/>
                <w:sz w:val="15"/>
              </w:rPr>
              <w:t>Credit-aware target calculation, course priorities, study-hour allocation and checkpoints.</w:t>
            </w:r>
          </w:p>
        </w:tc>
        <w:tc>
          <w:tcPr>
            <w:tcW w:type="dxa" w:w="2896"/>
            <w:shd w:fill="F3F5F2"/>
            <w:tcMar>
              <w:top w:w="55" w:type="dxa"/>
              <w:start w:w="55" w:type="dxa"/>
              <w:bottom w:w="55" w:type="dxa"/>
              <w:end w:w="55" w:type="dxa"/>
            </w:tcMar>
            <w:vAlign w:val="top"/>
          </w:tcPr>
          <w:p>
            <w:r>
              <w:rPr>
                <w:rFonts w:ascii="Aptos" w:hAnsi="Aptos"/>
                <w:sz w:val="15"/>
              </w:rPr>
              <w:t>Built as a projection, never an official result.</w:t>
            </w:r>
          </w:p>
        </w:tc>
      </w:tr>
      <w:tr>
        <w:tc>
          <w:tcPr>
            <w:tcW w:type="dxa" w:w="2896"/>
            <w:shd w:fill="FFFFFF"/>
            <w:tcMar>
              <w:top w:w="55" w:type="dxa"/>
              <w:start w:w="55" w:type="dxa"/>
              <w:bottom w:w="55" w:type="dxa"/>
              <w:end w:w="55" w:type="dxa"/>
            </w:tcMar>
            <w:vAlign w:val="top"/>
          </w:tcPr>
          <w:p>
            <w:r>
              <w:rPr>
                <w:rFonts w:ascii="Aptos" w:hAnsi="Aptos"/>
                <w:sz w:val="15"/>
              </w:rPr>
              <w:t>Course Q&amp;A and resources</w:t>
            </w:r>
          </w:p>
        </w:tc>
        <w:tc>
          <w:tcPr>
            <w:tcW w:type="dxa" w:w="2896"/>
            <w:shd w:fill="FFFFFF"/>
            <w:tcMar>
              <w:top w:w="55" w:type="dxa"/>
              <w:start w:w="55" w:type="dxa"/>
              <w:bottom w:w="55" w:type="dxa"/>
              <w:end w:w="55" w:type="dxa"/>
            </w:tcMar>
            <w:vAlign w:val="top"/>
          </w:tcPr>
          <w:p>
            <w:r>
              <w:rPr>
                <w:rFonts w:ascii="Aptos" w:hAnsi="Aptos"/>
                <w:sz w:val="15"/>
              </w:rPr>
              <w:t>Deschenes (2020)</w:t>
            </w:r>
          </w:p>
        </w:tc>
        <w:tc>
          <w:tcPr>
            <w:tcW w:type="dxa" w:w="2896"/>
            <w:shd w:fill="FFFFFF"/>
            <w:tcMar>
              <w:top w:w="55" w:type="dxa"/>
              <w:start w:w="55" w:type="dxa"/>
              <w:bottom w:w="55" w:type="dxa"/>
              <w:end w:w="55" w:type="dxa"/>
            </w:tcMar>
            <w:vAlign w:val="top"/>
          </w:tcPr>
          <w:p>
            <w:r>
              <w:rPr>
                <w:rFonts w:ascii="Aptos" w:hAnsi="Aptos"/>
                <w:sz w:val="15"/>
              </w:rPr>
              <w:t>Recommenders require evaluation and must preserve learner agency.</w:t>
            </w:r>
          </w:p>
        </w:tc>
        <w:tc>
          <w:tcPr>
            <w:tcW w:type="dxa" w:w="2896"/>
            <w:shd w:fill="FFFFFF"/>
            <w:tcMar>
              <w:top w:w="55" w:type="dxa"/>
              <w:start w:w="55" w:type="dxa"/>
              <w:bottom w:w="55" w:type="dxa"/>
              <w:end w:w="55" w:type="dxa"/>
            </w:tcMar>
            <w:vAlign w:val="top"/>
          </w:tcPr>
          <w:p>
            <w:r>
              <w:rPr>
                <w:rFonts w:ascii="Aptos" w:hAnsi="Aptos"/>
                <w:sz w:val="15"/>
              </w:rPr>
              <w:t>Faculty-approved course corpus, source citations and optional recommendations.</w:t>
            </w:r>
          </w:p>
        </w:tc>
        <w:tc>
          <w:tcPr>
            <w:tcW w:type="dxa" w:w="2896"/>
            <w:shd w:fill="FFFFFF"/>
            <w:tcMar>
              <w:top w:w="55" w:type="dxa"/>
              <w:start w:w="55" w:type="dxa"/>
              <w:bottom w:w="55" w:type="dxa"/>
              <w:end w:w="55" w:type="dxa"/>
            </w:tcMar>
            <w:vAlign w:val="top"/>
          </w:tcPr>
          <w:p>
            <w:r>
              <w:rPr>
                <w:rFonts w:ascii="Aptos" w:hAnsi="Aptos"/>
                <w:sz w:val="15"/>
              </w:rPr>
              <w:t>Grounded Q&amp;A built; internet-resource recommendation remains planned.</w:t>
            </w:r>
          </w:p>
        </w:tc>
      </w:tr>
      <w:tr>
        <w:tc>
          <w:tcPr>
            <w:tcW w:type="dxa" w:w="2896"/>
            <w:shd w:fill="F3F5F2"/>
            <w:tcMar>
              <w:top w:w="55" w:type="dxa"/>
              <w:start w:w="55" w:type="dxa"/>
              <w:bottom w:w="55" w:type="dxa"/>
              <w:end w:w="55" w:type="dxa"/>
            </w:tcMar>
            <w:vAlign w:val="top"/>
          </w:tcPr>
          <w:p>
            <w:r>
              <w:rPr>
                <w:rFonts w:ascii="Aptos" w:hAnsi="Aptos"/>
                <w:sz w:val="15"/>
              </w:rPr>
              <w:t>ERP integration</w:t>
            </w:r>
          </w:p>
        </w:tc>
        <w:tc>
          <w:tcPr>
            <w:tcW w:type="dxa" w:w="2896"/>
            <w:shd w:fill="F3F5F2"/>
            <w:tcMar>
              <w:top w:w="55" w:type="dxa"/>
              <w:start w:w="55" w:type="dxa"/>
              <w:bottom w:w="55" w:type="dxa"/>
              <w:end w:w="55" w:type="dxa"/>
            </w:tcMar>
            <w:vAlign w:val="top"/>
          </w:tcPr>
          <w:p>
            <w:r>
              <w:rPr>
                <w:rFonts w:ascii="Aptos" w:hAnsi="Aptos"/>
                <w:sz w:val="15"/>
              </w:rPr>
              <w:t>Sholeh et al. (2025)</w:t>
            </w:r>
          </w:p>
        </w:tc>
        <w:tc>
          <w:tcPr>
            <w:tcW w:type="dxa" w:w="2896"/>
            <w:shd w:fill="F3F5F2"/>
            <w:tcMar>
              <w:top w:w="55" w:type="dxa"/>
              <w:start w:w="55" w:type="dxa"/>
              <w:bottom w:w="55" w:type="dxa"/>
              <w:end w:w="55" w:type="dxa"/>
            </w:tcMar>
            <w:vAlign w:val="top"/>
          </w:tcPr>
          <w:p>
            <w:r>
              <w:rPr>
                <w:rFonts w:ascii="Aptos" w:hAnsi="Aptos"/>
                <w:sz w:val="15"/>
              </w:rPr>
              <w:t>ERP value is constrained by complexity, infrastructure and organizational adoption.</w:t>
            </w:r>
          </w:p>
        </w:tc>
        <w:tc>
          <w:tcPr>
            <w:tcW w:type="dxa" w:w="2896"/>
            <w:shd w:fill="F3F5F2"/>
            <w:tcMar>
              <w:top w:w="55" w:type="dxa"/>
              <w:start w:w="55" w:type="dxa"/>
              <w:bottom w:w="55" w:type="dxa"/>
              <w:end w:w="55" w:type="dxa"/>
            </w:tcMar>
            <w:vAlign w:val="top"/>
          </w:tcPr>
          <w:p>
            <w:r>
              <w:rPr>
                <w:rFonts w:ascii="Aptos" w:hAnsi="Aptos"/>
                <w:sz w:val="15"/>
              </w:rPr>
              <w:t>Reviewed imports, stable official IDs, encrypted token, idempotent sync and retry ledger.</w:t>
            </w:r>
          </w:p>
        </w:tc>
        <w:tc>
          <w:tcPr>
            <w:tcW w:type="dxa" w:w="2896"/>
            <w:shd w:fill="F3F5F2"/>
            <w:tcMar>
              <w:top w:w="55" w:type="dxa"/>
              <w:start w:w="55" w:type="dxa"/>
              <w:bottom w:w="55" w:type="dxa"/>
              <w:end w:w="55" w:type="dxa"/>
            </w:tcMar>
            <w:vAlign w:val="top"/>
          </w:tcPr>
          <w:p>
            <w:r>
              <w:rPr>
                <w:rFonts w:ascii="Aptos" w:hAnsi="Aptos"/>
                <w:sz w:val="15"/>
              </w:rPr>
              <w:t>Connector and sandbox built; real ERP validation pending.</w:t>
            </w:r>
          </w:p>
        </w:tc>
      </w:tr>
      <w:tr>
        <w:tc>
          <w:tcPr>
            <w:tcW w:type="dxa" w:w="2896"/>
            <w:shd w:fill="FFFFFF"/>
            <w:tcMar>
              <w:top w:w="55" w:type="dxa"/>
              <w:start w:w="55" w:type="dxa"/>
              <w:bottom w:w="55" w:type="dxa"/>
              <w:end w:w="55" w:type="dxa"/>
            </w:tcMar>
            <w:vAlign w:val="top"/>
          </w:tcPr>
          <w:p>
            <w:r>
              <w:rPr>
                <w:rFonts w:ascii="Aptos" w:hAnsi="Aptos"/>
                <w:sz w:val="15"/>
              </w:rPr>
              <w:t>Gamification</w:t>
            </w:r>
          </w:p>
        </w:tc>
        <w:tc>
          <w:tcPr>
            <w:tcW w:type="dxa" w:w="2896"/>
            <w:shd w:fill="FFFFFF"/>
            <w:tcMar>
              <w:top w:w="55" w:type="dxa"/>
              <w:start w:w="55" w:type="dxa"/>
              <w:bottom w:w="55" w:type="dxa"/>
              <w:end w:w="55" w:type="dxa"/>
            </w:tcMar>
            <w:vAlign w:val="top"/>
          </w:tcPr>
          <w:p>
            <w:r>
              <w:rPr>
                <w:rFonts w:ascii="Aptos" w:hAnsi="Aptos"/>
                <w:sz w:val="15"/>
              </w:rPr>
              <w:t>Sailer &amp; Homner (2020); Khaldi et al. (2023)</w:t>
            </w:r>
          </w:p>
        </w:tc>
        <w:tc>
          <w:tcPr>
            <w:tcW w:type="dxa" w:w="2896"/>
            <w:shd w:fill="FFFFFF"/>
            <w:tcMar>
              <w:top w:w="55" w:type="dxa"/>
              <w:start w:w="55" w:type="dxa"/>
              <w:bottom w:w="55" w:type="dxa"/>
              <w:end w:w="55" w:type="dxa"/>
            </w:tcMar>
            <w:vAlign w:val="top"/>
          </w:tcPr>
          <w:p>
            <w:r>
              <w:rPr>
                <w:rFonts w:ascii="Aptos" w:hAnsi="Aptos"/>
                <w:sz w:val="15"/>
              </w:rPr>
              <w:t>Effects vary; many systems use points, badges and leaderboards without theory or personalization.</w:t>
            </w:r>
          </w:p>
        </w:tc>
        <w:tc>
          <w:tcPr>
            <w:tcW w:type="dxa" w:w="2896"/>
            <w:shd w:fill="FFFFFF"/>
            <w:tcMar>
              <w:top w:w="55" w:type="dxa"/>
              <w:start w:w="55" w:type="dxa"/>
              <w:bottom w:w="55" w:type="dxa"/>
              <w:end w:w="55" w:type="dxa"/>
            </w:tcMar>
            <w:vAlign w:val="top"/>
          </w:tcPr>
          <w:p>
            <w:r>
              <w:rPr>
                <w:rFonts w:ascii="Aptos" w:hAnsi="Aptos"/>
                <w:sz w:val="15"/>
              </w:rPr>
              <w:t>Verified points ledger, opt-in leaderboard, badges, streaks and collaborative challenges with audit rules.</w:t>
            </w:r>
          </w:p>
        </w:tc>
        <w:tc>
          <w:tcPr>
            <w:tcW w:type="dxa" w:w="2896"/>
            <w:shd w:fill="FFFFFF"/>
            <w:tcMar>
              <w:top w:w="55" w:type="dxa"/>
              <w:start w:w="55" w:type="dxa"/>
              <w:bottom w:w="55" w:type="dxa"/>
              <w:end w:w="55" w:type="dxa"/>
            </w:tcMar>
            <w:vAlign w:val="top"/>
          </w:tcPr>
          <w:p>
            <w:r>
              <w:rPr>
                <w:rFonts w:ascii="Aptos" w:hAnsi="Aptos"/>
                <w:sz w:val="15"/>
              </w:rPr>
              <w:t>Leaderboard UI only; full engine is proposed.</w:t>
            </w:r>
          </w:p>
        </w:tc>
      </w:tr>
      <w:tr>
        <w:tc>
          <w:tcPr>
            <w:tcW w:type="dxa" w:w="2896"/>
            <w:shd w:fill="F3F5F2"/>
            <w:tcMar>
              <w:top w:w="55" w:type="dxa"/>
              <w:start w:w="55" w:type="dxa"/>
              <w:bottom w:w="55" w:type="dxa"/>
              <w:end w:w="55" w:type="dxa"/>
            </w:tcMar>
            <w:vAlign w:val="top"/>
          </w:tcPr>
          <w:p>
            <w:r>
              <w:rPr>
                <w:rFonts w:ascii="Aptos" w:hAnsi="Aptos"/>
                <w:sz w:val="15"/>
              </w:rPr>
              <w:t>Lecture notes from recordings</w:t>
            </w:r>
          </w:p>
        </w:tc>
        <w:tc>
          <w:tcPr>
            <w:tcW w:type="dxa" w:w="2896"/>
            <w:shd w:fill="F3F5F2"/>
            <w:tcMar>
              <w:top w:w="55" w:type="dxa"/>
              <w:start w:w="55" w:type="dxa"/>
              <w:bottom w:w="55" w:type="dxa"/>
              <w:end w:w="55" w:type="dxa"/>
            </w:tcMar>
            <w:vAlign w:val="top"/>
          </w:tcPr>
          <w:p>
            <w:r>
              <w:rPr>
                <w:rFonts w:ascii="Aptos" w:hAnsi="Aptos"/>
                <w:sz w:val="15"/>
              </w:rPr>
              <w:t>Yuan &amp; Zesch (2023)</w:t>
            </w:r>
          </w:p>
        </w:tc>
        <w:tc>
          <w:tcPr>
            <w:tcW w:type="dxa" w:w="2896"/>
            <w:shd w:fill="F3F5F2"/>
            <w:tcMar>
              <w:top w:w="55" w:type="dxa"/>
              <w:start w:w="55" w:type="dxa"/>
              <w:bottom w:w="55" w:type="dxa"/>
              <w:end w:w="55" w:type="dxa"/>
            </w:tcMar>
            <w:vAlign w:val="top"/>
          </w:tcPr>
          <w:p>
            <w:r>
              <w:rPr>
                <w:rFonts w:ascii="Aptos" w:hAnsi="Aptos"/>
                <w:sz w:val="15"/>
              </w:rPr>
              <w:t>Automatic summaries can help, but generated content and ASR evidence require verification.</w:t>
            </w:r>
          </w:p>
        </w:tc>
        <w:tc>
          <w:tcPr>
            <w:tcW w:type="dxa" w:w="2896"/>
            <w:shd w:fill="F3F5F2"/>
            <w:tcMar>
              <w:top w:w="55" w:type="dxa"/>
              <w:start w:w="55" w:type="dxa"/>
              <w:bottom w:w="55" w:type="dxa"/>
              <w:end w:w="55" w:type="dxa"/>
            </w:tcMar>
            <w:vAlign w:val="top"/>
          </w:tcPr>
          <w:p>
            <w:r>
              <w:rPr>
                <w:rFonts w:ascii="Aptos" w:hAnsi="Aptos"/>
                <w:sz w:val="15"/>
              </w:rPr>
              <w:t>Private recording pipeline, source-linked transcript and faculty statement review before publication.</w:t>
            </w:r>
          </w:p>
        </w:tc>
        <w:tc>
          <w:tcPr>
            <w:tcW w:type="dxa" w:w="2896"/>
            <w:shd w:fill="F3F5F2"/>
            <w:tcMar>
              <w:top w:w="55" w:type="dxa"/>
              <w:start w:w="55" w:type="dxa"/>
              <w:bottom w:w="55" w:type="dxa"/>
              <w:end w:w="55" w:type="dxa"/>
            </w:tcMar>
            <w:vAlign w:val="top"/>
          </w:tcPr>
          <w:p>
            <w:r>
              <w:rPr>
                <w:rFonts w:ascii="Aptos" w:hAnsi="Aptos"/>
                <w:sz w:val="15"/>
              </w:rPr>
              <w:t>Pipeline contract built; trained speech/OCR models and real automatic transcription pending.</w:t>
            </w:r>
          </w:p>
        </w:tc>
      </w:tr>
      <w:tr>
        <w:tc>
          <w:tcPr>
            <w:tcW w:type="dxa" w:w="2896"/>
            <w:shd w:fill="FFFFFF"/>
            <w:tcMar>
              <w:top w:w="55" w:type="dxa"/>
              <w:start w:w="55" w:type="dxa"/>
              <w:bottom w:w="55" w:type="dxa"/>
              <w:end w:w="55" w:type="dxa"/>
            </w:tcMar>
            <w:vAlign w:val="top"/>
          </w:tcPr>
          <w:p>
            <w:r>
              <w:rPr>
                <w:rFonts w:ascii="Aptos" w:hAnsi="Aptos"/>
                <w:sz w:val="15"/>
              </w:rPr>
              <w:t>Handwriting assessment</w:t>
            </w:r>
          </w:p>
        </w:tc>
        <w:tc>
          <w:tcPr>
            <w:tcW w:type="dxa" w:w="2896"/>
            <w:shd w:fill="FFFFFF"/>
            <w:tcMar>
              <w:top w:w="55" w:type="dxa"/>
              <w:start w:w="55" w:type="dxa"/>
              <w:bottom w:w="55" w:type="dxa"/>
              <w:end w:w="55" w:type="dxa"/>
            </w:tcMar>
            <w:vAlign w:val="top"/>
          </w:tcPr>
          <w:p>
            <w:r>
              <w:rPr>
                <w:rFonts w:ascii="Aptos" w:hAnsi="Aptos"/>
                <w:sz w:val="15"/>
              </w:rPr>
              <w:t>e Silva et al. (2024)</w:t>
            </w:r>
          </w:p>
        </w:tc>
        <w:tc>
          <w:tcPr>
            <w:tcW w:type="dxa" w:w="2896"/>
            <w:shd w:fill="FFFFFF"/>
            <w:tcMar>
              <w:top w:w="55" w:type="dxa"/>
              <w:start w:w="55" w:type="dxa"/>
              <w:bottom w:w="55" w:type="dxa"/>
              <w:end w:w="55" w:type="dxa"/>
            </w:tcMar>
            <w:vAlign w:val="top"/>
          </w:tcPr>
          <w:p>
            <w:r>
              <w:rPr>
                <w:rFonts w:ascii="Aptos" w:hAnsi="Aptos"/>
                <w:sz w:val="15"/>
              </w:rPr>
              <w:t>Dataset diversity, validation and deployment context remain unresolved.</w:t>
            </w:r>
          </w:p>
        </w:tc>
        <w:tc>
          <w:tcPr>
            <w:tcW w:type="dxa" w:w="2896"/>
            <w:shd w:fill="FFFFFF"/>
            <w:tcMar>
              <w:top w:w="55" w:type="dxa"/>
              <w:start w:w="55" w:type="dxa"/>
              <w:bottom w:w="55" w:type="dxa"/>
              <w:end w:w="55" w:type="dxa"/>
            </w:tcMar>
            <w:vAlign w:val="top"/>
          </w:tcPr>
          <w:p>
            <w:r>
              <w:rPr>
                <w:rFonts w:ascii="Aptos" w:hAnsi="Aptos"/>
                <w:sz w:val="15"/>
              </w:rPr>
              <w:t>Institution-approved dataset, OCR confidence, teacher correction and no automatic final grading.</w:t>
            </w:r>
          </w:p>
        </w:tc>
        <w:tc>
          <w:tcPr>
            <w:tcW w:type="dxa" w:w="2896"/>
            <w:shd w:fill="FFFFFF"/>
            <w:tcMar>
              <w:top w:w="55" w:type="dxa"/>
              <w:start w:w="55" w:type="dxa"/>
              <w:bottom w:w="55" w:type="dxa"/>
              <w:end w:w="55" w:type="dxa"/>
            </w:tcMar>
            <w:vAlign w:val="top"/>
          </w:tcPr>
          <w:p>
            <w:r>
              <w:rPr>
                <w:rFonts w:ascii="Aptos" w:hAnsi="Aptos"/>
                <w:sz w:val="15"/>
              </w:rPr>
              <w:t>Future research.</w:t>
            </w:r>
          </w:p>
        </w:tc>
      </w:tr>
    </w:tbl>
    <w:p>
      <w:pPr>
        <w:sectPr>
          <w:pgSz w:w="15840" w:h="12240" w:orient="landscape"/>
          <w:pgMar w:top="680" w:right="680" w:bottom="680" w:left="680" w:header="720" w:footer="720" w:gutter="0"/>
          <w:cols w:space="720"/>
          <w:docGrid w:linePitch="360"/>
        </w:sectPr>
      </w:pPr>
    </w:p>
    <w:p>
      <w:pPr>
        <w:pStyle w:val="Heading1"/>
        <w:keepNext/>
      </w:pPr>
      <w:r>
        <w:t>5. Consolidated Research Gap</w:t>
      </w:r>
    </w:p>
    <w:p>
      <w:pPr>
        <w:pStyle w:val="BodyText"/>
      </w:pPr>
      <w:r>
        <w:t>The literature contains strong work on individual components, but evidence remains fragmented across institutional administration, learning management, synchronous teaching, attendance, assessment, programming practice, analytics, AI, gamification and ERP implementation. The main gap is architectural and evaluative: universities need a role-scoped system that connects verified records across the complete learning lifecycle while preserving educator authority and showing where every indicator came from.</w:t>
      </w:r>
    </w:p>
    <w:p>
      <w:pPr>
        <w:pStyle w:val="Heading2"/>
        <w:keepNext/>
      </w:pPr>
      <w:r>
        <w:t>Gap 1: fragmented university workflows</w:t>
      </w:r>
    </w:p>
    <w:p>
      <w:pPr>
        <w:pStyle w:val="BodyText"/>
      </w:pPr>
      <w:r>
        <w:rPr>
          <w:b/>
        </w:rPr>
        <w:t>Evidence:</w:t>
      </w:r>
      <w:r>
        <w:t xml:space="preserve"> Research and products often treat identity, courses, meetings, assessment, attendance and records as separate systems.</w:t>
      </w:r>
    </w:p>
    <w:p>
      <w:pPr>
        <w:pStyle w:val="BodyText"/>
      </w:pPr>
      <w:r>
        <w:rPr>
          <w:b/>
        </w:rPr>
        <w:t>Proposed response:</w:t>
      </w:r>
      <w:r>
        <w:t xml:space="preserve"> Ekeekrta links institution setup, accounts, academic structure, course workspaces, teaching events and official exchange through one scoped data model.</w:t>
      </w:r>
    </w:p>
    <w:p>
      <w:pPr>
        <w:pStyle w:val="Heading2"/>
        <w:keepNext/>
      </w:pPr>
      <w:r>
        <w:t>Gap 2: incomplete access boundaries</w:t>
      </w:r>
    </w:p>
    <w:p>
      <w:pPr>
        <w:pStyle w:val="BodyText"/>
      </w:pPr>
      <w:r>
        <w:rPr>
          <w:b/>
        </w:rPr>
        <w:t>Evidence:</w:t>
      </w:r>
      <w:r>
        <w:t xml:space="preserve"> RBAC assigns permissions through roles, but a university also requires institution, department, course and record-level constraints.</w:t>
      </w:r>
    </w:p>
    <w:p>
      <w:pPr>
        <w:pStyle w:val="BodyText"/>
      </w:pPr>
      <w:r>
        <w:rPr>
          <w:b/>
        </w:rPr>
        <w:t>Proposed response:</w:t>
      </w:r>
      <w:r>
        <w:t xml:space="preserve"> Every protected operation rechecks tenant, role and ownership on the server; dashboard visibility alone never grants access.</w:t>
      </w:r>
    </w:p>
    <w:p>
      <w:pPr>
        <w:pStyle w:val="Heading2"/>
        <w:keepNext/>
      </w:pPr>
      <w:r>
        <w:t>Gap 3: live classes separated from course learning</w:t>
      </w:r>
    </w:p>
    <w:p>
      <w:pPr>
        <w:pStyle w:val="BodyText"/>
      </w:pPr>
      <w:r>
        <w:rPr>
          <w:b/>
        </w:rPr>
        <w:t>Evidence:</w:t>
      </w:r>
      <w:r>
        <w:t xml:space="preserve"> Synchronous interaction can help, but it cannot replace materials, deadlines, assessment and feedback.</w:t>
      </w:r>
    </w:p>
    <w:p>
      <w:pPr>
        <w:pStyle w:val="BodyText"/>
      </w:pPr>
      <w:r>
        <w:rPr>
          <w:b/>
        </w:rPr>
        <w:t>Proposed response:</w:t>
      </w:r>
      <w:r>
        <w:t xml:space="preserve"> Each scheduled or immediate class belongs to a course page that also contains assignments, quizzes, notes, resources, enrolment and session history.</w:t>
      </w:r>
    </w:p>
    <w:p>
      <w:pPr>
        <w:pStyle w:val="Heading2"/>
        <w:keepNext/>
      </w:pPr>
      <w:r>
        <w:t>Gap 4: attendance interpreted as achievement</w:t>
      </w:r>
    </w:p>
    <w:p>
      <w:pPr>
        <w:pStyle w:val="BodyText"/>
      </w:pPr>
      <w:r>
        <w:rPr>
          <w:b/>
        </w:rPr>
        <w:t>Evidence:</w:t>
      </w:r>
      <w:r>
        <w:t xml:space="preserve"> Lu and Cutumisu show that engagement and formative assessment mediate the attendance-performance relationship.</w:t>
      </w:r>
    </w:p>
    <w:p>
      <w:pPr>
        <w:pStyle w:val="BodyText"/>
      </w:pPr>
      <w:r>
        <w:rPr>
          <w:b/>
        </w:rPr>
        <w:t>Proposed response:</w:t>
      </w:r>
      <w:r>
        <w:t xml:space="preserve"> Ekeekrta records actual duration, then presents attendance beside assignment, quiz and programming evidence rather than as proof of learning.</w:t>
      </w:r>
    </w:p>
    <w:p>
      <w:pPr>
        <w:pStyle w:val="Heading2"/>
        <w:keepNext/>
      </w:pPr>
      <w:r>
        <w:t>Gap 5: shallow automated feedback</w:t>
      </w:r>
    </w:p>
    <w:p>
      <w:pPr>
        <w:pStyle w:val="BodyText"/>
      </w:pPr>
      <w:r>
        <w:rPr>
          <w:b/>
        </w:rPr>
        <w:t>Evidence:</w:t>
      </w:r>
      <w:r>
        <w:t xml:space="preserve"> Programming and text-assessment reviews report limited next-step guidance, teacher adaptability and validation.</w:t>
      </w:r>
    </w:p>
    <w:p>
      <w:pPr>
        <w:pStyle w:val="BodyText"/>
      </w:pPr>
      <w:r>
        <w:rPr>
          <w:b/>
        </w:rPr>
        <w:t>Proposed response:</w:t>
      </w:r>
      <w:r>
        <w:t xml:space="preserve"> Faculty define tasks and test cases, see evidence, grade where judgment is required and retain control over official marks.</w:t>
      </w:r>
    </w:p>
    <w:p>
      <w:pPr>
        <w:pStyle w:val="Heading2"/>
        <w:keepNext/>
      </w:pPr>
      <w:r>
        <w:t>Gap 6: opaque dashboards and recommendations</w:t>
      </w:r>
    </w:p>
    <w:p>
      <w:pPr>
        <w:pStyle w:val="BodyText"/>
      </w:pPr>
      <w:r>
        <w:rPr>
          <w:b/>
        </w:rPr>
        <w:t>Evidence:</w:t>
      </w:r>
      <w:r>
        <w:t xml:space="preserve"> Analytics and recommender research calls for explanation, actionable guidance and learner agency.</w:t>
      </w:r>
    </w:p>
    <w:p>
      <w:pPr>
        <w:pStyle w:val="BodyText"/>
      </w:pPr>
      <w:r>
        <w:rPr>
          <w:b/>
        </w:rPr>
        <w:t>Proposed response:</w:t>
      </w:r>
      <w:r>
        <w:t xml:space="preserve"> Ekeekrta shows thresholds, evidence counts, source links and optional support actions; indicators remain read-only.</w:t>
      </w:r>
    </w:p>
    <w:p>
      <w:pPr>
        <w:pStyle w:val="Heading2"/>
        <w:keepNext/>
      </w:pPr>
      <w:r>
        <w:t>Gap 7: insufficient educator control over AI</w:t>
      </w:r>
    </w:p>
    <w:p>
      <w:pPr>
        <w:pStyle w:val="BodyText"/>
      </w:pPr>
      <w:r>
        <w:rPr>
          <w:b/>
        </w:rPr>
        <w:t>Evidence:</w:t>
      </w:r>
      <w:r>
        <w:t xml:space="preserve"> AI reviews repeatedly call for educator participation, ethics and contextual evaluation.</w:t>
      </w:r>
    </w:p>
    <w:p>
      <w:pPr>
        <w:pStyle w:val="BodyText"/>
      </w:pPr>
      <w:r>
        <w:rPr>
          <w:b/>
        </w:rPr>
        <w:t>Proposed response:</w:t>
      </w:r>
      <w:r>
        <w:t xml:space="preserve"> AI workflows use permitted course evidence, previews, confirmation, faculty review, source grounding and audit history.</w:t>
      </w:r>
    </w:p>
    <w:p>
      <w:pPr>
        <w:pStyle w:val="Heading2"/>
        <w:keepNext/>
      </w:pPr>
      <w:r>
        <w:t>Gap 8: shallow gamification</w:t>
      </w:r>
    </w:p>
    <w:p>
      <w:pPr>
        <w:pStyle w:val="BodyText"/>
      </w:pPr>
      <w:r>
        <w:rPr>
          <w:b/>
        </w:rPr>
        <w:t>Evidence:</w:t>
      </w:r>
      <w:r>
        <w:t xml:space="preserve"> Points and leaderboards dominate, often without motivational theory, personalization or outcome evaluation.</w:t>
      </w:r>
    </w:p>
    <w:p>
      <w:pPr>
        <w:pStyle w:val="BodyText"/>
      </w:pPr>
      <w:r>
        <w:rPr>
          <w:b/>
        </w:rPr>
        <w:t>Proposed response:</w:t>
      </w:r>
      <w:r>
        <w:t xml:space="preserve"> The proposed engine combines verified learning events, opt-in comparison, mastery, collaboration and auditable rules.</w:t>
      </w:r>
    </w:p>
    <w:p>
      <w:pPr>
        <w:pStyle w:val="Heading2"/>
        <w:keepNext/>
      </w:pPr>
      <w:r>
        <w:t>Gap 9: difficult ERP integration</w:t>
      </w:r>
    </w:p>
    <w:p>
      <w:pPr>
        <w:pStyle w:val="BodyText"/>
      </w:pPr>
      <w:r>
        <w:rPr>
          <w:b/>
        </w:rPr>
        <w:t>Evidence:</w:t>
      </w:r>
      <w:r>
        <w:t xml:space="preserve"> ERP research identifies complexity, infrastructure and resistance as recurring barriers.</w:t>
      </w:r>
    </w:p>
    <w:p>
      <w:pPr>
        <w:pStyle w:val="BodyText"/>
      </w:pPr>
      <w:r>
        <w:rPr>
          <w:b/>
        </w:rPr>
        <w:t>Proposed response:</w:t>
      </w:r>
      <w:r>
        <w:t xml:space="preserve"> Ekeekrta uses administrator-reviewed imports, stable official IDs, encrypted credentials, idempotent events, retry history and staged activation.</w:t>
      </w:r>
    </w:p>
    <w:p>
      <w:pPr>
        <w:pStyle w:val="Heading1"/>
        <w:keepNext/>
      </w:pPr>
      <w:r>
        <w:t>6. Proposed Research Questions and Evaluation</w:t>
      </w:r>
    </w:p>
    <w:p>
      <w:pPr>
        <w:pStyle w:val="ListBullet"/>
      </w:pPr>
      <w:r>
        <w:t>RQ1. Can an integrated institution, role, department, course and learner model reduce duplicate administration while preventing cross-scope access?</w:t>
      </w:r>
    </w:p>
    <w:p>
      <w:pPr>
        <w:pStyle w:val="ListBullet"/>
      </w:pPr>
      <w:r>
        <w:t>RQ2. Does connecting scheduled classes, course resources and assessment in one workspace improve task completion and user satisfaction compared with fragmented tools?</w:t>
      </w:r>
    </w:p>
    <w:p>
      <w:pPr>
        <w:pStyle w:val="ListBullet"/>
      </w:pPr>
      <w:r>
        <w:t>RQ3. Does combining session-duration attendance with assignment, quiz and programming evidence produce more actionable support information than attendance percentage alone?</w:t>
      </w:r>
    </w:p>
    <w:p>
      <w:pPr>
        <w:pStyle w:val="ListBullet"/>
      </w:pPr>
      <w:r>
        <w:t>RQ4. Do evidence explanations and faculty review improve trust and intervention quality compared with an unexplained risk label?</w:t>
      </w:r>
    </w:p>
    <w:p>
      <w:pPr>
        <w:pStyle w:val="ListBullet"/>
      </w:pPr>
      <w:r>
        <w:t>RQ5. Can a reviewed ERP connector reduce reconciliation errors while preserving official identifiers and institutional authority?</w:t>
      </w:r>
    </w:p>
    <w:p>
      <w:pPr>
        <w:pStyle w:val="ListBullet"/>
      </w:pPr>
      <w:r>
        <w:t>RQ6. Can faculty-reviewed, source-grounded AI assistance reduce preparation time without increasing factual errors in published content?</w:t>
      </w:r>
    </w:p>
    <w:p>
      <w:pPr>
        <w:pStyle w:val="ListBullet"/>
      </w:pPr>
      <w:r>
        <w:t>RQ7. Does theory-grounded, opt-in gamification improve engagement without reducing learner autonomy or encouraging superficial point-seeking?</w:t>
      </w:r>
    </w:p>
    <w:p>
      <w:pPr>
        <w:pStyle w:val="Heading2"/>
        <w:keepNext/>
      </w:pPr>
      <w:r>
        <w:t>6.1 Minimum evaluation plan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24649A"/>
          </w:tcPr>
          <w:p>
            <w:r>
              <w:rPr>
                <w:b/>
                <w:color w:val="FFFFFF"/>
              </w:rPr>
              <w:t>Evaluation area</w:t>
            </w:r>
          </w:p>
        </w:tc>
        <w:tc>
          <w:tcPr>
            <w:tcW w:type="dxa" w:w="5100"/>
            <w:shd w:fill="24649A"/>
          </w:tcPr>
          <w:p>
            <w:r>
              <w:rPr>
                <w:b/>
                <w:color w:val="FFFFFF"/>
              </w:rPr>
              <w:t>Evidence to collect</w:t>
            </w:r>
          </w:p>
        </w:tc>
      </w:tr>
      <w:tr>
        <w:tc>
          <w:tcPr>
            <w:tcW w:type="dxa" w:w="5100"/>
            <w:shd w:fill="E8F1F7"/>
            <w:tcMar>
              <w:top w:w="80" w:type="dxa"/>
              <w:start w:w="90" w:type="dxa"/>
              <w:bottom w:w="80" w:type="dxa"/>
              <w:end w:w="90" w:type="dxa"/>
            </w:tcMar>
          </w:tcPr>
          <w:p>
            <w:r>
              <w:t>Security and isolation</w:t>
            </w:r>
          </w:p>
        </w:tc>
        <w:tc>
          <w:tcPr>
            <w:tcW w:type="dxa" w:w="5100"/>
            <w:shd w:fill="E8F1F7"/>
            <w:tcMar>
              <w:top w:w="80" w:type="dxa"/>
              <w:start w:w="90" w:type="dxa"/>
              <w:bottom w:w="80" w:type="dxa"/>
              <w:end w:w="90" w:type="dxa"/>
            </w:tcMar>
          </w:tcPr>
          <w:p>
            <w:r>
              <w:t>Test every role across institution, department, course and individual boundaries; include direct API attempts rather than menu-only checks.</w:t>
            </w:r>
          </w:p>
        </w:tc>
      </w:tr>
      <w:tr>
        <w:tc>
          <w:tcPr>
            <w:tcW w:type="dxa" w:w="5100"/>
            <w:shd w:fill="FFFFFF"/>
            <w:tcMar>
              <w:top w:w="80" w:type="dxa"/>
              <w:start w:w="90" w:type="dxa"/>
              <w:bottom w:w="80" w:type="dxa"/>
              <w:end w:w="90" w:type="dxa"/>
            </w:tcMar>
          </w:tcPr>
          <w:p>
            <w:r>
              <w:t>Functional accuracy</w:t>
            </w:r>
          </w:p>
        </w:tc>
        <w:tc>
          <w:tcPr>
            <w:tcW w:type="dxa" w:w="5100"/>
            <w:shd w:fill="FFFFFF"/>
            <w:tcMar>
              <w:top w:w="80" w:type="dxa"/>
              <w:start w:w="90" w:type="dxa"/>
              <w:bottom w:w="80" w:type="dxa"/>
              <w:end w:w="90" w:type="dxa"/>
            </w:tcMar>
          </w:tcPr>
          <w:p>
            <w:r>
              <w:t>Trace account, course, schedule, meeting, attendance, assessment, ERP and AI records from creation to authorized display.</w:t>
            </w:r>
          </w:p>
        </w:tc>
      </w:tr>
      <w:tr>
        <w:tc>
          <w:tcPr>
            <w:tcW w:type="dxa" w:w="5100"/>
            <w:shd w:fill="E8F1F7"/>
            <w:tcMar>
              <w:top w:w="80" w:type="dxa"/>
              <w:start w:w="90" w:type="dxa"/>
              <w:bottom w:w="80" w:type="dxa"/>
              <w:end w:w="90" w:type="dxa"/>
            </w:tcMar>
          </w:tcPr>
          <w:p>
            <w:r>
              <w:t>Usability and system quality</w:t>
            </w:r>
          </w:p>
        </w:tc>
        <w:tc>
          <w:tcPr>
            <w:tcW w:type="dxa" w:w="5100"/>
            <w:shd w:fill="E8F1F7"/>
            <w:tcMar>
              <w:top w:w="80" w:type="dxa"/>
              <w:start w:w="90" w:type="dxa"/>
              <w:bottom w:w="80" w:type="dxa"/>
              <w:end w:w="90" w:type="dxa"/>
            </w:tcMar>
          </w:tcPr>
          <w:p>
            <w:r>
              <w:t>Measure administrator, HOD, faculty and student task completion, errors, time on task, System Usability Scale and structured interviews.</w:t>
            </w:r>
          </w:p>
        </w:tc>
      </w:tr>
      <w:tr>
        <w:tc>
          <w:tcPr>
            <w:tcW w:type="dxa" w:w="5100"/>
            <w:shd w:fill="FFFFFF"/>
            <w:tcMar>
              <w:top w:w="80" w:type="dxa"/>
              <w:start w:w="90" w:type="dxa"/>
              <w:bottom w:w="80" w:type="dxa"/>
              <w:end w:w="90" w:type="dxa"/>
            </w:tcMar>
          </w:tcPr>
          <w:p>
            <w:r>
              <w:t>Assessment quality</w:t>
            </w:r>
          </w:p>
        </w:tc>
        <w:tc>
          <w:tcPr>
            <w:tcW w:type="dxa" w:w="5100"/>
            <w:shd w:fill="FFFFFF"/>
            <w:tcMar>
              <w:top w:w="80" w:type="dxa"/>
              <w:start w:w="90" w:type="dxa"/>
              <w:bottom w:w="80" w:type="dxa"/>
              <w:end w:w="90" w:type="dxa"/>
            </w:tcMar>
          </w:tcPr>
          <w:p>
            <w:r>
              <w:t>Verify quiz scoring and programming test cases; compare automated evidence with faculty judgments and inspect feedback usefulness.</w:t>
            </w:r>
          </w:p>
        </w:tc>
      </w:tr>
      <w:tr>
        <w:tc>
          <w:tcPr>
            <w:tcW w:type="dxa" w:w="5100"/>
            <w:shd w:fill="E8F1F7"/>
            <w:tcMar>
              <w:top w:w="80" w:type="dxa"/>
              <w:start w:w="90" w:type="dxa"/>
              <w:bottom w:w="80" w:type="dxa"/>
              <w:end w:w="90" w:type="dxa"/>
            </w:tcMar>
          </w:tcPr>
          <w:p>
            <w:r>
              <w:t>Learning-support usefulness</w:t>
            </w:r>
          </w:p>
        </w:tc>
        <w:tc>
          <w:tcPr>
            <w:tcW w:type="dxa" w:w="5100"/>
            <w:shd w:fill="E8F1F7"/>
            <w:tcMar>
              <w:top w:w="80" w:type="dxa"/>
              <w:start w:w="90" w:type="dxa"/>
              <w:bottom w:w="80" w:type="dxa"/>
              <w:end w:w="90" w:type="dxa"/>
            </w:tcMar>
          </w:tcPr>
          <w:p>
            <w:r>
              <w:t>Compare attendance-only flags with multi-evidence indicators; collect faculty judgments and intervention decisions.</w:t>
            </w:r>
          </w:p>
        </w:tc>
      </w:tr>
      <w:tr>
        <w:tc>
          <w:tcPr>
            <w:tcW w:type="dxa" w:w="5100"/>
            <w:shd w:fill="FFFFFF"/>
            <w:tcMar>
              <w:top w:w="80" w:type="dxa"/>
              <w:start w:w="90" w:type="dxa"/>
              <w:bottom w:w="80" w:type="dxa"/>
              <w:end w:w="90" w:type="dxa"/>
            </w:tcMar>
          </w:tcPr>
          <w:p>
            <w:r>
              <w:t>Gamification pilot</w:t>
            </w:r>
          </w:p>
        </w:tc>
        <w:tc>
          <w:tcPr>
            <w:tcW w:type="dxa" w:w="5100"/>
            <w:shd w:fill="FFFFFF"/>
            <w:tcMar>
              <w:top w:w="80" w:type="dxa"/>
              <w:start w:w="90" w:type="dxa"/>
              <w:bottom w:w="80" w:type="dxa"/>
              <w:end w:w="90" w:type="dxa"/>
            </w:tcMar>
          </w:tcPr>
          <w:p>
            <w:r>
              <w:t>Run an opt-in controlled pilot; report participation, completion, motivation/autonomy measures and unintended behavior.</w:t>
            </w:r>
          </w:p>
        </w:tc>
      </w:tr>
      <w:tr>
        <w:tc>
          <w:tcPr>
            <w:tcW w:type="dxa" w:w="5100"/>
            <w:shd w:fill="E8F1F7"/>
            <w:tcMar>
              <w:top w:w="80" w:type="dxa"/>
              <w:start w:w="90" w:type="dxa"/>
              <w:bottom w:w="80" w:type="dxa"/>
              <w:end w:w="90" w:type="dxa"/>
            </w:tcMar>
          </w:tcPr>
          <w:p>
            <w:r>
              <w:t>AI quality</w:t>
            </w:r>
          </w:p>
        </w:tc>
        <w:tc>
          <w:tcPr>
            <w:tcW w:type="dxa" w:w="5100"/>
            <w:shd w:fill="E8F1F7"/>
            <w:tcMar>
              <w:top w:w="80" w:type="dxa"/>
              <w:start w:w="90" w:type="dxa"/>
              <w:bottom w:w="80" w:type="dxa"/>
              <w:end w:w="90" w:type="dxa"/>
            </w:tcMar>
          </w:tcPr>
          <w:p>
            <w:r>
              <w:t>Measure groundedness, faculty edits, rejected drafts, time saved and citation correctness.</w:t>
            </w:r>
          </w:p>
        </w:tc>
      </w:tr>
      <w:tr>
        <w:tc>
          <w:tcPr>
            <w:tcW w:type="dxa" w:w="5100"/>
            <w:shd w:fill="FFFFFF"/>
            <w:tcMar>
              <w:top w:w="80" w:type="dxa"/>
              <w:start w:w="90" w:type="dxa"/>
              <w:bottom w:w="80" w:type="dxa"/>
              <w:end w:w="90" w:type="dxa"/>
            </w:tcMar>
          </w:tcPr>
          <w:p>
            <w:r>
              <w:t>Capacity</w:t>
            </w:r>
          </w:p>
        </w:tc>
        <w:tc>
          <w:tcPr>
            <w:tcW w:type="dxa" w:w="5100"/>
            <w:shd w:fill="FFFFFF"/>
            <w:tcMar>
              <w:top w:w="80" w:type="dxa"/>
              <w:start w:w="90" w:type="dxa"/>
              <w:bottom w:w="80" w:type="dxa"/>
              <w:end w:w="90" w:type="dxa"/>
            </w:tcMar>
          </w:tcPr>
          <w:p>
            <w:r>
              <w:t>Conduct staged 10, 25, 50, 100 and 150-participant tests after self-hosted media infrastructure exists; report CPU, memory, bandwidth, packet loss and join failures.</w:t>
            </w:r>
          </w:p>
        </w:tc>
      </w:tr>
    </w:tbl>
    <w:p>
      <w:pPr>
        <w:pStyle w:val="Heading1"/>
        <w:keepNext/>
      </w:pPr>
      <w:r>
        <w:t>7. Conclusion</w:t>
      </w:r>
    </w:p>
    <w:p>
      <w:pPr>
        <w:pStyle w:val="BodyText"/>
      </w:pPr>
      <w:r>
        <w:t>The literature supports Ekeekrta as an integrated, auditable university platform rather than an AI-only project. Its contribution lies in connecting institution administration, secure roles, academic structure, course delivery, live teaching, attendance, assessment, programming practice, resources, dashboards, ERP exchange and reviewed intelligent support. The platform already implements most workflow foundations, while the full gamification engine, trained recording models, handwriting assessment and verified 150-participant capacity remain research and deployment work. Future claims about learning improvement must come from controlled evaluation, not from interface completion alone.</w:t>
      </w:r>
    </w:p>
    <w:p>
      <w:pPr>
        <w:pStyle w:val="Heading1"/>
        <w:keepNext/>
      </w:pPr>
      <w:r>
        <w:t>References</w:t>
      </w:r>
    </w:p>
    <w:p>
      <w:pPr>
        <w:spacing w:after="100"/>
        <w:ind w:left="340" w:hanging="340"/>
      </w:pPr>
      <w:r>
        <w:t xml:space="preserve">Al-Fraihat, D., Joy, M., Masa'deh, R., &amp; Sinclair, J. (2020). Evaluating e-learning systems success: An empirical study. Computers in Human Behavior, 102, 67-86. </w:t>
      </w:r>
      <w:hyperlink r:id="rId10">
        <w:r>
          <w:rPr>
            <w:color w:val="24649A"/>
            <w:u w:val="single"/>
          </w:rPr>
          <w:t>https://doi.org/10.1016/j.chb.2019.08.004</w:t>
        </w:r>
      </w:hyperlink>
    </w:p>
    <w:p>
      <w:pPr>
        <w:spacing w:after="100"/>
        <w:ind w:left="340" w:hanging="340"/>
      </w:pPr>
      <w:r>
        <w:t xml:space="preserve">Bond, M., Khosravi, H., De Laat, M., et al. (2024). A meta systematic review of artificial intelligence in higher education: A call for increased ethics, collaboration, and rigour. International Journal of Educational Technology in Higher Education, 21, 4. </w:t>
      </w:r>
      <w:hyperlink r:id="rId11">
        <w:r>
          <w:rPr>
            <w:color w:val="24649A"/>
            <w:u w:val="single"/>
          </w:rPr>
          <w:t>https://doi.org/10.1186/s41239-023-00436-z</w:t>
        </w:r>
      </w:hyperlink>
    </w:p>
    <w:p>
      <w:pPr>
        <w:spacing w:after="100"/>
        <w:ind w:left="340" w:hanging="340"/>
      </w:pPr>
      <w:r>
        <w:t xml:space="preserve">Crompton, H., &amp; Burke, D. (2023). Artificial intelligence in higher education: The state of the field. International Journal of Educational Technology in Higher Education, 20, 22. </w:t>
      </w:r>
      <w:hyperlink r:id="rId12">
        <w:r>
          <w:rPr>
            <w:color w:val="24649A"/>
            <w:u w:val="single"/>
          </w:rPr>
          <w:t>https://doi.org/10.1186/s41239-023-00392-8</w:t>
        </w:r>
      </w:hyperlink>
    </w:p>
    <w:p>
      <w:pPr>
        <w:spacing w:after="100"/>
        <w:ind w:left="340" w:hanging="340"/>
      </w:pPr>
      <w:r>
        <w:t xml:space="preserve">Deschenes, M. (2020). Recommender systems to support learners' agency in a learning context: A systematic review. International Journal of Educational Technology in Higher Education, 17, 50. </w:t>
      </w:r>
      <w:hyperlink r:id="rId13">
        <w:r>
          <w:rPr>
            <w:color w:val="24649A"/>
            <w:u w:val="single"/>
          </w:rPr>
          <w:t>https://doi.org/10.1186/s41239-020-00219-w</w:t>
        </w:r>
      </w:hyperlink>
    </w:p>
    <w:p>
      <w:pPr>
        <w:spacing w:after="100"/>
        <w:ind w:left="340" w:hanging="340"/>
      </w:pPr>
      <w:r>
        <w:t xml:space="preserve">Fabriz, S., Mendzheritskaya, J., &amp; Stehle, S. (2021). Impact of synchronous and asynchronous settings of online teaching and learning in higher education on students' learning experience during COVID-19. Frontiers in Psychology, 12, 733554. </w:t>
      </w:r>
      <w:hyperlink r:id="rId14">
        <w:r>
          <w:rPr>
            <w:color w:val="24649A"/>
            <w:u w:val="single"/>
          </w:rPr>
          <w:t>https://doi.org/10.3389/fpsyg.2021.733554</w:t>
        </w:r>
      </w:hyperlink>
    </w:p>
    <w:p>
      <w:pPr>
        <w:spacing w:after="100"/>
        <w:ind w:left="340" w:hanging="340"/>
      </w:pPr>
      <w:r>
        <w:t xml:space="preserve">Heikkinen, S., Saqr, M., Malmberg, J., &amp; Tedre, M. (2023). Supporting self-regulated learning with learning analytics interventions: A systematic literature review. Education and Information Technologies, 28, 3059-3088. </w:t>
      </w:r>
      <w:hyperlink r:id="rId15">
        <w:r>
          <w:rPr>
            <w:color w:val="24649A"/>
            <w:u w:val="single"/>
          </w:rPr>
          <w:t>https://doi.org/10.1007/s10639-022-11281-4</w:t>
        </w:r>
      </w:hyperlink>
    </w:p>
    <w:p>
      <w:pPr>
        <w:spacing w:after="100"/>
        <w:ind w:left="340" w:hanging="340"/>
      </w:pPr>
      <w:r>
        <w:t xml:space="preserve">Khaldi, A., Bouzidi, R., &amp; Nader, F. (2023). Gamification of e-learning in higher education: A systematic literature review. Smart Learning Environments, 10, 10. </w:t>
      </w:r>
      <w:hyperlink r:id="rId16">
        <w:r>
          <w:rPr>
            <w:color w:val="24649A"/>
            <w:u w:val="single"/>
          </w:rPr>
          <w:t>https://doi.org/10.1186/s40561-023-00227-z</w:t>
        </w:r>
      </w:hyperlink>
    </w:p>
    <w:p>
      <w:pPr>
        <w:spacing w:after="100"/>
        <w:ind w:left="340" w:hanging="340"/>
      </w:pPr>
      <w:r>
        <w:t xml:space="preserve">Keuning, H., Jeuring, J. T., &amp; Heeren, B. (2018). A systematic literature review of automated feedback generation for programming exercises. ACM Transactions on Computing Education, 19(1), Article 3. </w:t>
      </w:r>
      <w:hyperlink r:id="rId17">
        <w:r>
          <w:rPr>
            <w:color w:val="24649A"/>
            <w:u w:val="single"/>
          </w:rPr>
          <w:t>https://doi.org/10.1145/3231711</w:t>
        </w:r>
      </w:hyperlink>
    </w:p>
    <w:p>
      <w:pPr>
        <w:spacing w:after="100"/>
        <w:ind w:left="340" w:hanging="340"/>
      </w:pPr>
      <w:r>
        <w:t xml:space="preserve">Lu, C., &amp; Cutumisu, M. (2022). Online engagement and performance on formative assessments mediate the relationship between attendance and course performance. International Journal of Educational Technology in Higher Education, 19, 2. </w:t>
      </w:r>
      <w:hyperlink r:id="rId18">
        <w:r>
          <w:rPr>
            <w:color w:val="24649A"/>
            <w:u w:val="single"/>
          </w:rPr>
          <w:t>https://doi.org/10.1186/s41239-021-00307-5</w:t>
        </w:r>
      </w:hyperlink>
    </w:p>
    <w:p>
      <w:pPr>
        <w:spacing w:after="100"/>
        <w:ind w:left="340" w:hanging="340"/>
      </w:pPr>
      <w:r>
        <w:t xml:space="preserve">Nayak, S., et al. (2024). Automatic assessment of text-based responses in post-secondary education: A systematic review. Computers and Education: Artificial Intelligence, 6, 100206. </w:t>
      </w:r>
      <w:hyperlink r:id="rId19">
        <w:r>
          <w:rPr>
            <w:color w:val="24649A"/>
            <w:u w:val="single"/>
          </w:rPr>
          <w:t>https://doi.org/10.1016/j.caeai.2024.100206</w:t>
        </w:r>
      </w:hyperlink>
    </w:p>
    <w:p>
      <w:pPr>
        <w:spacing w:after="100"/>
        <w:ind w:left="340" w:hanging="340"/>
      </w:pPr>
      <w:r>
        <w:t xml:space="preserve">Ramaswami, G., Susnjak, T., Mathrani, A., &amp; Umer, R. (2023). Use of predictive analytics within learning analytics dashboards: A review of case studies. Technology, Knowledge and Learning, 28, 959-980. </w:t>
      </w:r>
      <w:hyperlink r:id="rId20">
        <w:r>
          <w:rPr>
            <w:color w:val="24649A"/>
            <w:u w:val="single"/>
          </w:rPr>
          <w:t>https://doi.org/10.1007/s10758-022-09613-x</w:t>
        </w:r>
      </w:hyperlink>
    </w:p>
    <w:p>
      <w:pPr>
        <w:spacing w:after="100"/>
        <w:ind w:left="340" w:hanging="340"/>
      </w:pPr>
      <w:r>
        <w:t xml:space="preserve">Sailer, M., &amp; Homner, L. (2020). The gamification of learning: A meta-analysis. Educational Psychology Review, 32, 77-112. </w:t>
      </w:r>
      <w:hyperlink r:id="rId21">
        <w:r>
          <w:rPr>
            <w:color w:val="24649A"/>
            <w:u w:val="single"/>
          </w:rPr>
          <w:t>https://doi.org/10.1007/s10648-019-09498-w</w:t>
        </w:r>
      </w:hyperlink>
    </w:p>
    <w:p>
      <w:pPr>
        <w:spacing w:after="100"/>
        <w:ind w:left="340" w:hanging="340"/>
      </w:pPr>
      <w:r>
        <w:t xml:space="preserve">Sandhu, R. S., Coyne, E. J., Feinstein, H. L., &amp; Youman, C. E. (1996). Role-based access control models. IEEE Computer, 29(2), 38-47. </w:t>
      </w:r>
      <w:hyperlink r:id="rId22">
        <w:r>
          <w:rPr>
            <w:color w:val="24649A"/>
            <w:u w:val="single"/>
          </w:rPr>
          <w:t>https://doi.org/10.1109/2.485845</w:t>
        </w:r>
      </w:hyperlink>
    </w:p>
    <w:p>
      <w:pPr>
        <w:spacing w:after="100"/>
        <w:ind w:left="340" w:hanging="340"/>
      </w:pPr>
      <w:r>
        <w:t xml:space="preserve">Sholeh, M. B., Samodra, R. F., &amp; Widodo, A. P. (2025). Benefits and challenges of ERP implementation in higher education institutions: A systematic literature review. Jurnal Sistem Informasi Bisnis, 15(1), 21-33. </w:t>
      </w:r>
      <w:hyperlink r:id="rId23">
        <w:r>
          <w:rPr>
            <w:color w:val="24649A"/>
            <w:u w:val="single"/>
          </w:rPr>
          <w:t>https://doi.org/10.14710/vol15iss1pp21-33</w:t>
        </w:r>
      </w:hyperlink>
    </w:p>
    <w:p>
      <w:pPr>
        <w:spacing w:after="100"/>
        <w:ind w:left="340" w:hanging="340"/>
      </w:pPr>
      <w:r>
        <w:t xml:space="preserve">Silva, L. C. e, Sobrinho, A., Cordeiro, T., et al. (2024). Assessing students' handwritten text productions: A two-decades literature review. Expert Systems with Applications, 250, 123780. </w:t>
      </w:r>
      <w:hyperlink r:id="rId24">
        <w:r>
          <w:rPr>
            <w:color w:val="24649A"/>
            <w:u w:val="single"/>
          </w:rPr>
          <w:t>https://doi.org/10.1016/j.eswa.2024.123780</w:t>
        </w:r>
      </w:hyperlink>
    </w:p>
    <w:p>
      <w:pPr>
        <w:spacing w:after="100"/>
        <w:ind w:left="340" w:hanging="340"/>
      </w:pPr>
      <w:r>
        <w:t xml:space="preserve">Yuan, Z., &amp; Zesch, T. (2023). Automatically generated summaries of video lectures may enhance students' learning experience. Proceedings of the 18th Workshop on Innovative Use of NLP for Building Educational Applications, 382-393. </w:t>
      </w:r>
      <w:hyperlink r:id="rId25">
        <w:r>
          <w:rPr>
            <w:color w:val="24649A"/>
            <w:u w:val="single"/>
          </w:rPr>
          <w:t>https://doi.org/10.18653/v1/2023.bea-1.31</w:t>
        </w:r>
      </w:hyperlink>
    </w:p>
    <w:p>
      <w:pPr>
        <w:spacing w:after="100"/>
        <w:ind w:left="340" w:hanging="340"/>
      </w:pPr>
      <w:r>
        <w:t xml:space="preserve">Zawacki-Richter, O., Marin, V. I., Bond, M., &amp; Gouverneur, F. (2019). Systematic review of research on artificial intelligence applications in higher education: Where are the educators? International Journal of Educational Technology in Higher Education, 16, 39. </w:t>
      </w:r>
      <w:hyperlink r:id="rId26">
        <w:r>
          <w:rPr>
            <w:color w:val="24649A"/>
            <w:u w:val="single"/>
          </w:rPr>
          <w:t>https://doi.org/10.1186/s41239-019-0171-0</w:t>
        </w:r>
      </w:hyperlink>
    </w:p>
    <w:sectPr w:rsidR="00FC693F" w:rsidRPr="0006063C" w:rsidSect="00034616">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Ekeekrta Literature Survey  |  </w:t>
    </w:r>
    <w:fldSimple w:instr="PAGE"/>
    <w:r>
      <w:rPr>
        <w:rFonts w:ascii="Aptos" w:hAnsi="Aptos"/>
        <w:sz w:val="16"/>
      </w:rPr>
      <w:t xml:space="preserve">Ekeekrta Literature Survey  |  </w:t>
    </w:r>
    <w:fldSimple w:instr="PAGE"/>
    <w:r>
      <w:rPr>
        <w:rFonts w:ascii="Aptos" w:hAnsi="Aptos"/>
        <w:sz w:val="16"/>
      </w:rPr>
      <w:t xml:space="preserve">Ekeekrta Literature Survey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5451C"/>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8F3A"/>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24649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16/j.chb.2019.08.004" TargetMode="External"/><Relationship Id="rId11" Type="http://schemas.openxmlformats.org/officeDocument/2006/relationships/hyperlink" Target="https://doi.org/10.1186/s41239-023-00436-z" TargetMode="External"/><Relationship Id="rId12" Type="http://schemas.openxmlformats.org/officeDocument/2006/relationships/hyperlink" Target="https://doi.org/10.1186/s41239-023-00392-8" TargetMode="External"/><Relationship Id="rId13" Type="http://schemas.openxmlformats.org/officeDocument/2006/relationships/hyperlink" Target="https://doi.org/10.1186/s41239-020-00219-w" TargetMode="External"/><Relationship Id="rId14" Type="http://schemas.openxmlformats.org/officeDocument/2006/relationships/hyperlink" Target="https://doi.org/10.3389/fpsyg.2021.733554" TargetMode="External"/><Relationship Id="rId15" Type="http://schemas.openxmlformats.org/officeDocument/2006/relationships/hyperlink" Target="https://doi.org/10.1007/s10639-022-11281-4" TargetMode="External"/><Relationship Id="rId16" Type="http://schemas.openxmlformats.org/officeDocument/2006/relationships/hyperlink" Target="https://doi.org/10.1186/s40561-023-00227-z" TargetMode="External"/><Relationship Id="rId17" Type="http://schemas.openxmlformats.org/officeDocument/2006/relationships/hyperlink" Target="https://doi.org/10.1145/3231711" TargetMode="External"/><Relationship Id="rId18" Type="http://schemas.openxmlformats.org/officeDocument/2006/relationships/hyperlink" Target="https://doi.org/10.1186/s41239-021-00307-5" TargetMode="External"/><Relationship Id="rId19" Type="http://schemas.openxmlformats.org/officeDocument/2006/relationships/hyperlink" Target="https://doi.org/10.1016/j.caeai.2024.100206" TargetMode="External"/><Relationship Id="rId20" Type="http://schemas.openxmlformats.org/officeDocument/2006/relationships/hyperlink" Target="https://doi.org/10.1007/s10758-022-09613-x" TargetMode="External"/><Relationship Id="rId21" Type="http://schemas.openxmlformats.org/officeDocument/2006/relationships/hyperlink" Target="https://doi.org/10.1007/s10648-019-09498-w" TargetMode="External"/><Relationship Id="rId22" Type="http://schemas.openxmlformats.org/officeDocument/2006/relationships/hyperlink" Target="https://doi.org/10.1109/2.485845" TargetMode="External"/><Relationship Id="rId23" Type="http://schemas.openxmlformats.org/officeDocument/2006/relationships/hyperlink" Target="https://doi.org/10.14710/vol15iss1pp21-33" TargetMode="External"/><Relationship Id="rId24" Type="http://schemas.openxmlformats.org/officeDocument/2006/relationships/hyperlink" Target="https://doi.org/10.1016/j.eswa.2024.123780" TargetMode="External"/><Relationship Id="rId25" Type="http://schemas.openxmlformats.org/officeDocument/2006/relationships/hyperlink" Target="https://doi.org/10.18653/v1/2023.bea-1.31" TargetMode="External"/><Relationship Id="rId26" Type="http://schemas.openxmlformats.org/officeDocument/2006/relationships/hyperlink" Target="https://doi.org/10.1186/s41239-019-01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Ekeekrta Structured Literature Survey and Research Gap Analysis</dc:title>
  <dc:subject>Major Project Stage 1 Review 2</dc:subject>
  <dc:creator>Arla Hanmanth Rao</dc:creator>
  <cp:keywords>Ekeekrta, LMS, virtual classroom, learning analytics, AI, gamification, ERP</cp:keywords>
  <dc:description>generated by python-docx</dc:description>
  <cp:lastModifiedBy/>
  <cp:revision>1</cp:revision>
  <dcterms:created xsi:type="dcterms:W3CDTF">2013-12-23T23:15:00Z</dcterms:created>
  <dcterms:modified xsi:type="dcterms:W3CDTF">2013-12-23T23:15:00Z</dcterms:modified>
  <cp:category/>
</cp:coreProperties>
</file>