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2F8F3A"/>
          <w:sz w:val="64"/>
        </w:rPr>
        <w:t>EKEEKRTA</w:t>
      </w:r>
    </w:p>
    <w:p>
      <w:pPr>
        <w:jc w:val="center"/>
      </w:pPr>
      <w:r>
        <w:rPr>
          <w:rFonts w:ascii="Aptos Display" w:hAnsi="Aptos Display"/>
          <w:b/>
          <w:color w:val="15451C"/>
          <w:sz w:val="44"/>
        </w:rPr>
        <w:t>Structured Literature Survey and Research Gap Analysis</w:t>
      </w:r>
    </w:p>
    <w:p>
      <w:pPr>
        <w:jc w:val="center"/>
      </w:pPr>
      <w:r>
        <w:rPr>
          <w:color w:val="5E6A61"/>
          <w:sz w:val="28"/>
        </w:rPr>
        <w:t>Smart Virtual Learning Management and Classroom Platform for Higher Education</w:t>
      </w:r>
    </w:p>
    <w:p/>
    <w:tbl>
      <w:tblPr>
        <w:tblW w:type="auto" w:w="0"/>
        <w:jc w:val="center"/>
        <w:tblLayout w:type="fixed"/>
        <w:tblLook w:firstColumn="1" w:firstRow="1" w:lastColumn="0" w:lastRow="0" w:noHBand="0" w:noVBand="1" w:val="04A0"/>
      </w:tblPr>
      <w:tblGrid>
        <w:gridCol w:w="2381"/>
        <w:gridCol w:w="6520"/>
      </w:tblGrid>
      <w:tr>
        <w:tc>
          <w:tcPr>
            <w:tcW w:type="dxa" w:w="2381"/>
            <w:tcMar>
              <w:top w:w="100" w:type="dxa"/>
              <w:start w:w="120" w:type="dxa"/>
              <w:bottom w:w="100" w:type="dxa"/>
              <w:end w:w="120" w:type="dxa"/>
            </w:tcMar>
            <w:vAlign w:val="center"/>
            <w:shd w:fill="2F8F3A"/>
          </w:tcPr>
          <w:p>
            <w:r>
              <w:rPr>
                <w:b/>
                <w:color w:val="FFFFFF"/>
              </w:rPr>
              <w:t>Institution</w:t>
            </w:r>
          </w:p>
        </w:tc>
        <w:tc>
          <w:tcPr>
            <w:tcW w:type="dxa" w:w="6520"/>
            <w:tcMar>
              <w:top w:w="100" w:type="dxa"/>
              <w:start w:w="120" w:type="dxa"/>
              <w:bottom w:w="100" w:type="dxa"/>
              <w:end w:w="120" w:type="dxa"/>
            </w:tcMar>
            <w:vAlign w:val="center"/>
            <w:shd w:fill="EAF4E8"/>
          </w:tcPr>
          <w:p>
            <w:r>
              <w:t>Hyderabad Institute of Technology and Management</w:t>
            </w:r>
          </w:p>
        </w:tc>
      </w:tr>
      <w:tr>
        <w:tc>
          <w:tcPr>
            <w:tcW w:type="dxa" w:w="2381"/>
            <w:tcMar>
              <w:top w:w="100" w:type="dxa"/>
              <w:start w:w="120" w:type="dxa"/>
              <w:bottom w:w="100" w:type="dxa"/>
              <w:end w:w="120" w:type="dxa"/>
            </w:tcMar>
            <w:vAlign w:val="center"/>
            <w:shd w:fill="2F8F3A"/>
          </w:tcPr>
          <w:p>
            <w:r>
              <w:rPr>
                <w:b/>
                <w:color w:val="FFFFFF"/>
              </w:rPr>
              <w:t>Department</w:t>
            </w:r>
          </w:p>
        </w:tc>
        <w:tc>
          <w:tcPr>
            <w:tcW w:type="dxa" w:w="6520"/>
            <w:tcMar>
              <w:top w:w="100" w:type="dxa"/>
              <w:start w:w="120" w:type="dxa"/>
              <w:bottom w:w="100" w:type="dxa"/>
              <w:end w:w="120" w:type="dxa"/>
            </w:tcMar>
            <w:vAlign w:val="center"/>
            <w:shd w:fill="FFFFFF"/>
          </w:tcPr>
          <w:p>
            <w:r>
              <w:t>Computer Science and Engineering (AI &amp; ML)</w:t>
            </w:r>
          </w:p>
        </w:tc>
      </w:tr>
      <w:tr>
        <w:tc>
          <w:tcPr>
            <w:tcW w:type="dxa" w:w="2381"/>
            <w:tcMar>
              <w:top w:w="100" w:type="dxa"/>
              <w:start w:w="120" w:type="dxa"/>
              <w:bottom w:w="100" w:type="dxa"/>
              <w:end w:w="120" w:type="dxa"/>
            </w:tcMar>
            <w:vAlign w:val="center"/>
            <w:shd w:fill="2F8F3A"/>
          </w:tcPr>
          <w:p>
            <w:r>
              <w:rPr>
                <w:b/>
                <w:color w:val="FFFFFF"/>
              </w:rPr>
              <w:t>Review</w:t>
            </w:r>
          </w:p>
        </w:tc>
        <w:tc>
          <w:tcPr>
            <w:tcW w:type="dxa" w:w="6520"/>
            <w:tcMar>
              <w:top w:w="100" w:type="dxa"/>
              <w:start w:w="120" w:type="dxa"/>
              <w:bottom w:w="100" w:type="dxa"/>
              <w:end w:w="120" w:type="dxa"/>
            </w:tcMar>
            <w:vAlign w:val="center"/>
            <w:shd w:fill="EAF4E8"/>
          </w:tcPr>
          <w:p>
            <w:r>
              <w:t>Major Project Stage 1 - Review 2</w:t>
            </w:r>
          </w:p>
        </w:tc>
      </w:tr>
      <w:tr>
        <w:tc>
          <w:tcPr>
            <w:tcW w:type="dxa" w:w="2381"/>
            <w:tcMar>
              <w:top w:w="100" w:type="dxa"/>
              <w:start w:w="120" w:type="dxa"/>
              <w:bottom w:w="100" w:type="dxa"/>
              <w:end w:w="120" w:type="dxa"/>
            </w:tcMar>
            <w:vAlign w:val="center"/>
            <w:shd w:fill="2F8F3A"/>
          </w:tcPr>
          <w:p>
            <w:r>
              <w:rPr>
                <w:b/>
                <w:color w:val="FFFFFF"/>
              </w:rPr>
              <w:t>Student</w:t>
            </w:r>
          </w:p>
        </w:tc>
        <w:tc>
          <w:tcPr>
            <w:tcW w:type="dxa" w:w="6520"/>
            <w:tcMar>
              <w:top w:w="100" w:type="dxa"/>
              <w:start w:w="120" w:type="dxa"/>
              <w:bottom w:w="100" w:type="dxa"/>
              <w:end w:w="120" w:type="dxa"/>
            </w:tcMar>
            <w:vAlign w:val="center"/>
            <w:shd w:fill="FFFFFF"/>
          </w:tcPr>
          <w:p>
            <w:r>
              <w:t>Arla Hanmanth Rao (24E55A6601)</w:t>
            </w:r>
          </w:p>
        </w:tc>
      </w:tr>
      <w:tr>
        <w:tc>
          <w:tcPr>
            <w:tcW w:type="dxa" w:w="2381"/>
            <w:tcMar>
              <w:top w:w="100" w:type="dxa"/>
              <w:start w:w="120" w:type="dxa"/>
              <w:bottom w:w="100" w:type="dxa"/>
              <w:end w:w="120" w:type="dxa"/>
            </w:tcMar>
            <w:vAlign w:val="center"/>
            <w:shd w:fill="2F8F3A"/>
          </w:tcPr>
          <w:p>
            <w:r>
              <w:rPr>
                <w:b/>
                <w:color w:val="FFFFFF"/>
              </w:rPr>
              <w:t>Prepared</w:t>
            </w:r>
          </w:p>
        </w:tc>
        <w:tc>
          <w:tcPr>
            <w:tcW w:type="dxa" w:w="6520"/>
            <w:tcMar>
              <w:top w:w="100" w:type="dxa"/>
              <w:start w:w="120" w:type="dxa"/>
              <w:bottom w:w="100" w:type="dxa"/>
              <w:end w:w="120" w:type="dxa"/>
            </w:tcMar>
            <w:vAlign w:val="center"/>
            <w:shd w:fill="EAF4E8"/>
          </w:tcPr>
          <w:p>
            <w:r>
              <w:t>25 September 2026</w:t>
            </w:r>
          </w:p>
        </w:tc>
      </w:tr>
    </w:tbl>
    <w:p>
      <w:pPr>
        <w:spacing w:before="480"/>
        <w:jc w:val="center"/>
      </w:pPr>
      <w:r>
        <w:rPr>
          <w:i/>
          <w:color w:val="5E6A61"/>
          <w:sz w:val="19"/>
        </w:rPr>
        <w:t>Scope note: This survey covers university workflows only. Features for other institution types are intentionally excluded.</w:t>
      </w:r>
    </w:p>
    <w:p>
      <w:r>
        <w:br w:type="page"/>
      </w:r>
    </w:p>
    <w:p>
      <w:pPr>
        <w:pStyle w:val="Heading1"/>
        <w:keepNext/>
      </w:pPr>
      <w:r>
        <w:t>Executive Summary</w:t>
      </w:r>
    </w:p>
    <w:p>
      <w:pPr>
        <w:pStyle w:val="BodyText"/>
      </w:pPr>
      <w:r>
        <w:t>The reviewed literature supports the need for a unified higher-education platform, but it does not justify treating attendance, AI, dashboards, or gamification as isolated solutions. Evidence shows that attendance becomes more useful when interpreted with online engagement and formative assessment. Learning analytics dashboards often stop at risk labels without explaining causes or prescribing appropriate actions. AI studies report benefits in assessment, personalization and academic support, while repeatedly calling for stronger ethics, educator participation and contextual evaluation. Gamification produces small positive average effects, but outcomes depend on design choices and theory.</w:t>
      </w:r>
    </w:p>
    <w:p>
      <w:pPr>
        <w:pStyle w:val="BodyText"/>
      </w:pPr>
      <w:r>
        <w:t>Ekeekrta addresses this combined gap through one institution-scoped workflow connecting courses, synchronous classes, duration-based attendance, assignments, quizzes, programming assessments, reviewed ERP exchange and explainable student-support indicators. Its native AI functions use local rules, retrieval and human confirmation. The current build does not yet contain a complete gamification engine; the research-backed design proposed here introduces a verified points ledger, opt-in leaderboards, badges, streaks and collaborative challenges only after evaluation.</w:t>
      </w:r>
    </w:p>
    <w:p>
      <w:pPr>
        <w:pStyle w:val="Heading1"/>
        <w:keepNext/>
      </w:pPr>
      <w:r>
        <w:t>1. Introduction</w:t>
      </w:r>
    </w:p>
    <w:p>
      <w:pPr>
        <w:pStyle w:val="Heading2"/>
        <w:keepNext/>
      </w:pPr>
      <w:r>
        <w:t>1.1 Why the project is worth reviewing</w:t>
      </w:r>
    </w:p>
    <w:p>
      <w:pPr>
        <w:pStyle w:val="BodyText"/>
      </w:pPr>
      <w:r>
        <w:t>Universities commonly operate learning management, video conferencing, attendance, assessment and official student records as separate workflows. This fragmentation creates repeated data entry, delayed reconciliation and incomplete evidence for academic support. A review is therefore valuable because Ekeekrta attempts to connect these workflows while preserving institutional, departmental, course and individual access boundaries.</w:t>
      </w:r>
    </w:p>
    <w:p>
      <w:pPr>
        <w:pStyle w:val="Heading2"/>
        <w:keepNext/>
      </w:pPr>
      <w:r>
        <w:t>1.2 Problem statement</w:t>
      </w:r>
    </w:p>
    <w:p>
      <w:pPr>
        <w:pStyle w:val="BodyText"/>
      </w:pPr>
      <w:r>
        <w:t>How can a university platform combine live teaching, asynchronous course activity, assessment, ERP records, AI assistance and gamification without treating attendance as achievement, exposing student data across roles, or presenting opaque automated decisions as academic facts?</w:t>
      </w:r>
    </w:p>
    <w:p>
      <w:pPr>
        <w:pStyle w:val="Heading2"/>
        <w:keepNext/>
      </w:pPr>
      <w:r>
        <w:t>1.3 Key concepts</w:t>
      </w:r>
    </w:p>
    <w:p>
      <w:pPr>
        <w:pStyle w:val="BodyText"/>
      </w:pPr>
      <w:r>
        <w:rPr>
          <w:b/>
        </w:rPr>
        <w:t>Learning management system (LMS):</w:t>
      </w:r>
      <w:r>
        <w:t xml:space="preserve"> A digital environment for courses, materials, assignments, quizzes, submissions and grades.</w:t>
      </w:r>
    </w:p>
    <w:p>
      <w:pPr>
        <w:pStyle w:val="BodyText"/>
      </w:pPr>
      <w:r>
        <w:rPr>
          <w:b/>
        </w:rPr>
        <w:t>Synchronous virtual classroom:</w:t>
      </w:r>
      <w:r>
        <w:t xml:space="preserve"> A real-time audio, screen-sharing, chat and participation environment.</w:t>
      </w:r>
    </w:p>
    <w:p>
      <w:pPr>
        <w:pStyle w:val="BodyText"/>
      </w:pPr>
      <w:r>
        <w:rPr>
          <w:b/>
        </w:rPr>
        <w:t>Learning analytics:</w:t>
      </w:r>
      <w:r>
        <w:t xml:space="preserve"> The use of learning-process data to describe or support learning. Ekeekrta uses transparent evidence rather than an unexplained prediction score.</w:t>
      </w:r>
    </w:p>
    <w:p>
      <w:pPr>
        <w:pStyle w:val="BodyText"/>
      </w:pPr>
      <w:r>
        <w:rPr>
          <w:b/>
        </w:rPr>
        <w:t>Role-based access control:</w:t>
      </w:r>
      <w:r>
        <w:t xml:space="preserve"> Server-side permissions based on administrator, HOD, faculty and student responsibilities.</w:t>
      </w:r>
    </w:p>
    <w:p>
      <w:pPr>
        <w:pStyle w:val="BodyText"/>
      </w:pPr>
      <w:r>
        <w:rPr>
          <w:b/>
        </w:rPr>
        <w:t>ERP interoperability:</w:t>
      </w:r>
      <w:r>
        <w:t xml:space="preserve"> Reviewed data exchange between Ekeekrta and the institution's official academic system.</w:t>
      </w:r>
    </w:p>
    <w:p>
      <w:pPr>
        <w:pStyle w:val="BodyText"/>
      </w:pPr>
      <w:r>
        <w:rPr>
          <w:b/>
        </w:rPr>
        <w:t>Auditable AI assistance:</w:t>
      </w:r>
      <w:r>
        <w:t xml:space="preserve"> AI-supported drafts or recommendations that preserve sources, evidence, confirmation and action history.</w:t>
      </w:r>
    </w:p>
    <w:p>
      <w:pPr>
        <w:pStyle w:val="BodyText"/>
      </w:pPr>
      <w:r>
        <w:rPr>
          <w:b/>
        </w:rPr>
        <w:t>Gamification:</w:t>
      </w:r>
      <w:r>
        <w:t xml:space="preserve"> The use of game-design elements such as points, badges, levels, feedback and challenges in a non-game learning process.</w:t>
      </w:r>
    </w:p>
    <w:p>
      <w:pPr>
        <w:pStyle w:val="Heading1"/>
        <w:keepNext/>
      </w:pPr>
      <w:r>
        <w:t>2. Review Method</w:t>
      </w:r>
    </w:p>
    <w:p>
      <w:pPr>
        <w:pStyle w:val="BodyText"/>
      </w:pPr>
      <w:r>
        <w:t>This is a structured narrative literature survey prepared for project review, not a PRISMA systematic review. Searches were conducted up to 25 September 2026 using publisher pages and scholarly indexes including SpringerLink, ScienceDirect, IEEE Xplore, ACL Anthology and PubMed. Priority was given to peer-reviewed systematic reviews, meta-analyses and directly relevant empirical studies.</w:t>
      </w:r>
    </w:p>
    <w:p>
      <w:pPr>
        <w:pStyle w:val="Heading2"/>
        <w:keepNext/>
      </w:pPr>
      <w:r>
        <w:t>2.1 Inclusion criteria</w:t>
      </w:r>
    </w:p>
    <w:p>
      <w:pPr>
        <w:pStyle w:val="ListBullet"/>
      </w:pPr>
      <w:r>
        <w:t>Higher-education or technology-enhanced learning context.</w:t>
      </w:r>
    </w:p>
    <w:p>
      <w:pPr>
        <w:pStyle w:val="ListBullet"/>
      </w:pPr>
      <w:r>
        <w:t>Direct relevance to at least one Ekeekrta feature family: virtual classrooms, attendance, learning analytics, AI support, gamification, resource recommendation, ERP integration or automated assessment.</w:t>
      </w:r>
    </w:p>
    <w:p>
      <w:pPr>
        <w:pStyle w:val="ListBullet"/>
      </w:pPr>
      <w:r>
        <w:t>A clear research method and an identifiable limitation or future-work statement.</w:t>
      </w:r>
    </w:p>
    <w:p>
      <w:pPr>
        <w:pStyle w:val="ListBullet"/>
      </w:pPr>
      <w:r>
        <w:t>Preference for open-access papers and DOI-verifiable publication records.</w:t>
      </w:r>
    </w:p>
    <w:p>
      <w:pPr>
        <w:pStyle w:val="Heading2"/>
        <w:keepNext/>
      </w:pPr>
      <w:r>
        <w:t>2.2 Exclusion criteria</w:t>
      </w:r>
    </w:p>
    <w:p>
      <w:pPr>
        <w:pStyle w:val="ListBullet"/>
      </w:pPr>
      <w:r>
        <w:t>Marketing pages, unsourced product comparisons and non-academic claims.</w:t>
      </w:r>
    </w:p>
    <w:p>
      <w:pPr>
        <w:pStyle w:val="ListBullet"/>
      </w:pPr>
      <w:r>
        <w:t>Studies whose context could not be connected to the university feature under review.</w:t>
      </w:r>
    </w:p>
    <w:p>
      <w:pPr>
        <w:pStyle w:val="ListBullet"/>
      </w:pPr>
      <w:r>
        <w:t>Claims of system capacity or learning improvement without measured evidence.</w:t>
      </w:r>
    </w:p>
    <w:p>
      <w:pPr>
        <w:pStyle w:val="Heading1"/>
        <w:keepNext/>
      </w:pPr>
      <w:r>
        <w:t>3. Chronological Literature Survey</w:t>
      </w:r>
    </w:p>
    <w:p>
      <w:pPr>
        <w:spacing w:after="60"/>
      </w:pPr>
      <w:r>
        <w:rPr>
          <w:b/>
          <w:color w:val="15451C"/>
        </w:rPr>
        <w:t>2019  Zawacki-Richter et al. - AI in higher education</w:t>
      </w:r>
    </w:p>
    <w:p>
      <w:pPr>
        <w:pStyle w:val="ListBullet"/>
      </w:pPr>
      <w:r>
        <w:t>Method: Systematic review of 146 studies from 2,656 records.</w:t>
      </w:r>
    </w:p>
    <w:p>
      <w:pPr>
        <w:pStyle w:val="ListBullet"/>
      </w:pPr>
      <w:r>
        <w:t>Finding and gap: AI research clustered around prediction, assessment, personalization and tutoring. Critical reflection, pedagogical grounding and educator involvement were limited.</w:t>
      </w:r>
    </w:p>
    <w:p>
      <w:pPr>
        <w:pStyle w:val="ListBullet"/>
      </w:pPr>
      <w:r>
        <w:t>Design response: Human review, source grounding, role controls and audit records must be part of the AI workflow.</w:t>
      </w:r>
    </w:p>
    <w:p>
      <w:pPr>
        <w:spacing w:after="60"/>
      </w:pPr>
      <w:r>
        <w:rPr>
          <w:b/>
          <w:color w:val="15451C"/>
        </w:rPr>
        <w:t>2020  Sailer &amp; Homner - Gamification</w:t>
      </w:r>
    </w:p>
    <w:p>
      <w:pPr>
        <w:pStyle w:val="ListBullet"/>
      </w:pPr>
      <w:r>
        <w:t>Method: Meta-analysis covering cognitive, motivational and behavioral outcomes.</w:t>
      </w:r>
    </w:p>
    <w:p>
      <w:pPr>
        <w:pStyle w:val="ListBullet"/>
      </w:pPr>
      <w:r>
        <w:t>Finding and gap: Average effects were positive but small; motivational and behavioral effects were less stable, and design moderators mattered.</w:t>
      </w:r>
    </w:p>
    <w:p>
      <w:pPr>
        <w:pStyle w:val="ListBullet"/>
      </w:pPr>
      <w:r>
        <w:t>Design response: Ekeekrta should pilot theory-grounded game elements and measure outcomes rather than assume a leaderboard improves learning.</w:t>
      </w:r>
    </w:p>
    <w:p>
      <w:pPr>
        <w:spacing w:after="60"/>
      </w:pPr>
      <w:r>
        <w:rPr>
          <w:b/>
          <w:color w:val="15451C"/>
        </w:rPr>
        <w:t>2020  Deschenes - Learning-resource recommendation</w:t>
      </w:r>
    </w:p>
    <w:p>
      <w:pPr>
        <w:pStyle w:val="ListBullet"/>
      </w:pPr>
      <w:r>
        <w:t>Method: Systematic review of 56 retained studies.</w:t>
      </w:r>
    </w:p>
    <w:p>
      <w:pPr>
        <w:pStyle w:val="ListBullet"/>
      </w:pPr>
      <w:r>
        <w:t>Finding and gap: Most evaluations were positive, but approaches and evaluation settings varied; learner agency and transparent study selection remain important.</w:t>
      </w:r>
    </w:p>
    <w:p>
      <w:pPr>
        <w:pStyle w:val="ListBullet"/>
      </w:pPr>
      <w:r>
        <w:t>Design response: Recommendations should use learner goals and faculty-approved course context, show sources, and remain optional.</w:t>
      </w:r>
    </w:p>
    <w:p>
      <w:pPr>
        <w:spacing w:after="60"/>
      </w:pPr>
      <w:r>
        <w:rPr>
          <w:b/>
          <w:color w:val="15451C"/>
        </w:rPr>
        <w:t>2021  Fabriz et al. - Synchronous learning</w:t>
      </w:r>
    </w:p>
    <w:p>
      <w:pPr>
        <w:pStyle w:val="ListBullet"/>
      </w:pPr>
      <w:r>
        <w:t>Method: Survey of 3,056 students and 396 teachers at a German university.</w:t>
      </w:r>
    </w:p>
    <w:p>
      <w:pPr>
        <w:pStyle w:val="ListBullet"/>
      </w:pPr>
      <w:r>
        <w:t>Finding and gap: Predominantly synchronous settings supported more peer-centered activity, relatedness and satisfaction, while teacher perceptions differed from student reports.</w:t>
      </w:r>
    </w:p>
    <w:p>
      <w:pPr>
        <w:pStyle w:val="ListBullet"/>
      </w:pPr>
      <w:r>
        <w:t>Design response: A live classroom should be integrated with asynchronous materials and feedback rather than used as a complete learning solution.</w:t>
      </w:r>
    </w:p>
    <w:p>
      <w:pPr>
        <w:spacing w:after="60"/>
      </w:pPr>
      <w:r>
        <w:rPr>
          <w:b/>
          <w:color w:val="15451C"/>
        </w:rPr>
        <w:t>2022  Lu &amp; Cutumisu - Attendance and performance</w:t>
      </w:r>
    </w:p>
    <w:p>
      <w:pPr>
        <w:pStyle w:val="ListBullet"/>
      </w:pPr>
      <w:r>
        <w:t>Method: Structural-equation analysis of 367 undergraduate Moodle records.</w:t>
      </w:r>
    </w:p>
    <w:p>
      <w:pPr>
        <w:pStyle w:val="ListBullet"/>
      </w:pPr>
      <w:r>
        <w:t>Finding and gap: Attendance did not directly predict the final score after online engagement and formative assessment were included; the mediation model explained substantially more variance.</w:t>
      </w:r>
    </w:p>
    <w:p>
      <w:pPr>
        <w:pStyle w:val="ListBullet"/>
      </w:pPr>
      <w:r>
        <w:t>Design response: Use actual class duration as one signal and combine it with assignments, quizzes and course activity.</w:t>
      </w:r>
    </w:p>
    <w:p>
      <w:pPr>
        <w:spacing w:after="60"/>
      </w:pPr>
      <w:r>
        <w:rPr>
          <w:b/>
          <w:color w:val="15451C"/>
        </w:rPr>
        <w:t>2023  Ramaswami et al. - Learning analytics dashboards</w:t>
      </w:r>
    </w:p>
    <w:p>
      <w:pPr>
        <w:pStyle w:val="ListBullet"/>
      </w:pPr>
      <w:r>
        <w:t>Method: Review of predictive dashboard case studies.</w:t>
      </w:r>
    </w:p>
    <w:p>
      <w:pPr>
        <w:pStyle w:val="ListBullet"/>
      </w:pPr>
      <w:r>
        <w:t>Finding and gap: Most dashboards identified risk without model interpretation or prescriptive guidance; evaluation focused on function and usability more than learning outcomes.</w:t>
      </w:r>
    </w:p>
    <w:p>
      <w:pPr>
        <w:pStyle w:val="ListBullet"/>
      </w:pPr>
      <w:r>
        <w:t>Design response: Return evidence counts, threshold reasons and suggested support actions; keep the result read-only and evaluate it with users.</w:t>
      </w:r>
    </w:p>
    <w:p>
      <w:pPr>
        <w:spacing w:after="60"/>
      </w:pPr>
      <w:r>
        <w:rPr>
          <w:b/>
          <w:color w:val="15451C"/>
        </w:rPr>
        <w:t>2023  Crompton &amp; Burke - AI in higher education</w:t>
      </w:r>
    </w:p>
    <w:p>
      <w:pPr>
        <w:pStyle w:val="ListBullet"/>
      </w:pPr>
      <w:r>
        <w:t>Method: Systematic review of 138 articles published from 2016 to 2022.</w:t>
      </w:r>
    </w:p>
    <w:p>
      <w:pPr>
        <w:pStyle w:val="ListBullet"/>
      </w:pPr>
      <w:r>
        <w:t>Finding and gap: AI supported assessment, prediction, assistants and management of learning, but collective affordances and responsible implementation remained open questions.</w:t>
      </w:r>
    </w:p>
    <w:p>
      <w:pPr>
        <w:pStyle w:val="ListBullet"/>
      </w:pPr>
      <w:r>
        <w:t>Design response: Use AI for bounded support tasks and maintain explicit limits on automatic decisions.</w:t>
      </w:r>
    </w:p>
    <w:p>
      <w:pPr>
        <w:spacing w:after="60"/>
      </w:pPr>
      <w:r>
        <w:rPr>
          <w:b/>
          <w:color w:val="15451C"/>
        </w:rPr>
        <w:t>2023  Khaldi et al. - Gamification in e-learning</w:t>
      </w:r>
    </w:p>
    <w:p>
      <w:pPr>
        <w:pStyle w:val="ListBullet"/>
      </w:pPr>
      <w:r>
        <w:t>Method: Review of 90 papers, including 39 empirical studies.</w:t>
      </w:r>
    </w:p>
    <w:p>
      <w:pPr>
        <w:pStyle w:val="ListBullet"/>
      </w:pPr>
      <w:r>
        <w:t>Finding and gap: Points, badges and leaderboards dominated; only nine empirical studies used motivational theory, and personalization remained limited.</w:t>
      </w:r>
    </w:p>
    <w:p>
      <w:pPr>
        <w:pStyle w:val="ListBullet"/>
      </w:pPr>
      <w:r>
        <w:t>Design response: Build a rules-based, auditable gamification layer tied to verified learning events and student choice.</w:t>
      </w:r>
    </w:p>
    <w:p>
      <w:pPr>
        <w:spacing w:after="60"/>
      </w:pPr>
      <w:r>
        <w:rPr>
          <w:b/>
          <w:color w:val="15451C"/>
        </w:rPr>
        <w:t>2024  Bond et al. - Ethical and contextual AI</w:t>
      </w:r>
    </w:p>
    <w:p>
      <w:pPr>
        <w:pStyle w:val="ListBullet"/>
      </w:pPr>
      <w:r>
        <w:t>Method: Meta-review of 66 evidence syntheses.</w:t>
      </w:r>
    </w:p>
    <w:p>
      <w:pPr>
        <w:pStyle w:val="ListBullet"/>
      </w:pPr>
      <w:r>
        <w:t>Finding and gap: Research emphasized teaching and learning, while administrative uses, ethics, context and methodological rigor received less attention.</w:t>
      </w:r>
    </w:p>
    <w:p>
      <w:pPr>
        <w:pStyle w:val="ListBullet"/>
      </w:pPr>
      <w:r>
        <w:t>Design response: Apply institution and role boundaries, protect data, record actions and test every AI feature in its real university context.</w:t>
      </w:r>
    </w:p>
    <w:p>
      <w:pPr>
        <w:spacing w:after="60"/>
      </w:pPr>
      <w:r>
        <w:rPr>
          <w:b/>
          <w:color w:val="15451C"/>
        </w:rPr>
        <w:t>2024  e Silva et al. - Handwriting assessment</w:t>
      </w:r>
    </w:p>
    <w:p>
      <w:pPr>
        <w:pStyle w:val="ListBullet"/>
      </w:pPr>
      <w:r>
        <w:t>Method: Two-decade review; 22 relevant assessment studies retained from 491 papers.</w:t>
      </w:r>
    </w:p>
    <w:p>
      <w:pPr>
        <w:pStyle w:val="ListBullet"/>
      </w:pPr>
      <w:r>
        <w:t>Finding and gap: Reported technical performance was promising, but datasets, educational contexts, validation and low-cost deployment varied.</w:t>
      </w:r>
    </w:p>
    <w:p>
      <w:pPr>
        <w:pStyle w:val="ListBullet"/>
      </w:pPr>
      <w:r>
        <w:t>Design response: Treat handwriting/OCR as future research using approved institutional data and teacher validation, not as a completed feature.</w:t>
      </w:r>
    </w:p>
    <w:p>
      <w:pPr>
        <w:spacing w:after="60"/>
      </w:pPr>
      <w:r>
        <w:rPr>
          <w:b/>
          <w:color w:val="15451C"/>
        </w:rPr>
        <w:t>2025  Sholeh et al. - ERP in higher education</w:t>
      </w:r>
    </w:p>
    <w:p>
      <w:pPr>
        <w:pStyle w:val="ListBullet"/>
      </w:pPr>
      <w:r>
        <w:t>Method: Systematic review of 37 papers.</w:t>
      </w:r>
    </w:p>
    <w:p>
      <w:pPr>
        <w:pStyle w:val="ListBullet"/>
      </w:pPr>
      <w:r>
        <w:t>Finding and gap: ERP can improve efficiency and decisions, but complexity, infrastructure and organizational resistance remain major barriers.</w:t>
      </w:r>
    </w:p>
    <w:p>
      <w:pPr>
        <w:pStyle w:val="ListBullet"/>
      </w:pPr>
      <w:r>
        <w:t>Design response: Use an adapter contract, administrator review, idempotent events, retry history and phased rollout instead of direct uncontrolled synchronization.</w:t>
      </w:r>
    </w:p>
    <w:p>
      <w:pPr>
        <w:sectPr>
          <w:footerReference w:type="default" r:id="rId9"/>
          <w:pgSz w:w="12240" w:h="15840"/>
          <w:pgMar w:top="964" w:right="1020" w:bottom="850" w:left="1020" w:header="720" w:footer="720" w:gutter="0"/>
          <w:cols w:space="720"/>
          <w:docGrid w:linePitch="360"/>
        </w:sectPr>
      </w:pPr>
    </w:p>
    <w:p>
      <w:pPr>
        <w:pStyle w:val="Heading1"/>
        <w:keepNext/>
      </w:pPr>
      <w:r>
        <w:t>4. Feature-to-Evidence-to-Solution Matrix</w:t>
      </w:r>
    </w:p>
    <w:tbl>
      <w:tblPr>
        <w:tblStyle w:val="TableGrid"/>
        <w:tblW w:type="auto" w:w="0"/>
        <w:jc w:val="center"/>
        <w:tblLook w:firstColumn="1" w:firstRow="1" w:lastColumn="0" w:lastRow="0" w:noHBand="0" w:noVBand="1" w:val="04A0"/>
      </w:tblPr>
      <w:tblGrid>
        <w:gridCol w:w="2896"/>
        <w:gridCol w:w="2896"/>
        <w:gridCol w:w="2896"/>
        <w:gridCol w:w="2896"/>
        <w:gridCol w:w="2896"/>
      </w:tblGrid>
      <w:tr>
        <w:trPr>
          <w:tblHeader w:val="true"/>
        </w:trPr>
        <w:tc>
          <w:tcPr>
            <w:tcW w:type="dxa" w:w="2896"/>
            <w:shd w:fill="2F8F3A"/>
            <w:tcMar>
              <w:top w:w="70" w:type="dxa"/>
              <w:start w:w="70" w:type="dxa"/>
              <w:bottom w:w="70" w:type="dxa"/>
              <w:end w:w="70" w:type="dxa"/>
            </w:tcMar>
          </w:tcPr>
          <w:p>
            <w:r>
              <w:rPr>
                <w:b/>
                <w:color w:val="FFFFFF"/>
                <w:sz w:val="17"/>
              </w:rPr>
              <w:t>Feature</w:t>
            </w:r>
          </w:p>
        </w:tc>
        <w:tc>
          <w:tcPr>
            <w:tcW w:type="dxa" w:w="2896"/>
            <w:shd w:fill="2F8F3A"/>
            <w:tcMar>
              <w:top w:w="70" w:type="dxa"/>
              <w:start w:w="70" w:type="dxa"/>
              <w:bottom w:w="70" w:type="dxa"/>
              <w:end w:w="70" w:type="dxa"/>
            </w:tcMar>
          </w:tcPr>
          <w:p>
            <w:r>
              <w:rPr>
                <w:b/>
                <w:color w:val="FFFFFF"/>
                <w:sz w:val="17"/>
              </w:rPr>
              <w:t>Research basis</w:t>
            </w:r>
          </w:p>
        </w:tc>
        <w:tc>
          <w:tcPr>
            <w:tcW w:type="dxa" w:w="2896"/>
            <w:shd w:fill="2F8F3A"/>
            <w:tcMar>
              <w:top w:w="70" w:type="dxa"/>
              <w:start w:w="70" w:type="dxa"/>
              <w:bottom w:w="70" w:type="dxa"/>
              <w:end w:w="70" w:type="dxa"/>
            </w:tcMar>
          </w:tcPr>
          <w:p>
            <w:r>
              <w:rPr>
                <w:b/>
                <w:color w:val="FFFFFF"/>
                <w:sz w:val="17"/>
              </w:rPr>
              <w:t>Gap in literature</w:t>
            </w:r>
          </w:p>
        </w:tc>
        <w:tc>
          <w:tcPr>
            <w:tcW w:type="dxa" w:w="2896"/>
            <w:shd w:fill="2F8F3A"/>
            <w:tcMar>
              <w:top w:w="70" w:type="dxa"/>
              <w:start w:w="70" w:type="dxa"/>
              <w:bottom w:w="70" w:type="dxa"/>
              <w:end w:w="70" w:type="dxa"/>
            </w:tcMar>
          </w:tcPr>
          <w:p>
            <w:r>
              <w:rPr>
                <w:b/>
                <w:color w:val="FFFFFF"/>
                <w:sz w:val="17"/>
              </w:rPr>
              <w:t>Ekeekrta solution</w:t>
            </w:r>
          </w:p>
        </w:tc>
        <w:tc>
          <w:tcPr>
            <w:tcW w:type="dxa" w:w="2896"/>
            <w:shd w:fill="2F8F3A"/>
            <w:tcMar>
              <w:top w:w="70" w:type="dxa"/>
              <w:start w:w="70" w:type="dxa"/>
              <w:bottom w:w="70" w:type="dxa"/>
              <w:end w:w="70" w:type="dxa"/>
            </w:tcMar>
          </w:tcPr>
          <w:p>
            <w:r>
              <w:rPr>
                <w:b/>
                <w:color w:val="FFFFFF"/>
                <w:sz w:val="17"/>
              </w:rPr>
              <w:t>Project status</w:t>
            </w:r>
          </w:p>
        </w:tc>
      </w:tr>
      <w:tr>
        <w:tc>
          <w:tcPr>
            <w:tcW w:type="dxa" w:w="2896"/>
            <w:shd w:fill="FFFFFF"/>
            <w:tcMar>
              <w:top w:w="55" w:type="dxa"/>
              <w:start w:w="55" w:type="dxa"/>
              <w:bottom w:w="55" w:type="dxa"/>
              <w:end w:w="55" w:type="dxa"/>
            </w:tcMar>
            <w:vAlign w:val="top"/>
          </w:tcPr>
          <w:p>
            <w:r>
              <w:rPr>
                <w:rFonts w:ascii="Aptos" w:hAnsi="Aptos"/>
                <w:sz w:val="15"/>
              </w:rPr>
              <w:t>Live classroom</w:t>
            </w:r>
          </w:p>
        </w:tc>
        <w:tc>
          <w:tcPr>
            <w:tcW w:type="dxa" w:w="2896"/>
            <w:shd w:fill="FFFFFF"/>
            <w:tcMar>
              <w:top w:w="55" w:type="dxa"/>
              <w:start w:w="55" w:type="dxa"/>
              <w:bottom w:w="55" w:type="dxa"/>
              <w:end w:w="55" w:type="dxa"/>
            </w:tcMar>
            <w:vAlign w:val="top"/>
          </w:tcPr>
          <w:p>
            <w:r>
              <w:rPr>
                <w:rFonts w:ascii="Aptos" w:hAnsi="Aptos"/>
                <w:sz w:val="15"/>
              </w:rPr>
              <w:t>Fabriz et al. (2021)</w:t>
            </w:r>
          </w:p>
        </w:tc>
        <w:tc>
          <w:tcPr>
            <w:tcW w:type="dxa" w:w="2896"/>
            <w:shd w:fill="FFFFFF"/>
            <w:tcMar>
              <w:top w:w="55" w:type="dxa"/>
              <w:start w:w="55" w:type="dxa"/>
              <w:bottom w:w="55" w:type="dxa"/>
              <w:end w:w="55" w:type="dxa"/>
            </w:tcMar>
            <w:vAlign w:val="top"/>
          </w:tcPr>
          <w:p>
            <w:r>
              <w:rPr>
                <w:rFonts w:ascii="Aptos" w:hAnsi="Aptos"/>
                <w:sz w:val="15"/>
              </w:rPr>
              <w:t>Synchronous learning can strengthen interaction and relatedness, but it does not replace asynchronous learning.</w:t>
            </w:r>
          </w:p>
        </w:tc>
        <w:tc>
          <w:tcPr>
            <w:tcW w:type="dxa" w:w="2896"/>
            <w:shd w:fill="FFFFFF"/>
            <w:tcMar>
              <w:top w:w="55" w:type="dxa"/>
              <w:start w:w="55" w:type="dxa"/>
              <w:bottom w:w="55" w:type="dxa"/>
              <w:end w:w="55" w:type="dxa"/>
            </w:tcMar>
            <w:vAlign w:val="top"/>
          </w:tcPr>
          <w:p>
            <w:r>
              <w:rPr>
                <w:rFonts w:ascii="Aptos" w:hAnsi="Aptos"/>
                <w:sz w:val="15"/>
              </w:rPr>
              <w:t>Jitsi room integrated with course materials, assignments and schedules.</w:t>
            </w:r>
          </w:p>
        </w:tc>
        <w:tc>
          <w:tcPr>
            <w:tcW w:type="dxa" w:w="2896"/>
            <w:shd w:fill="FFFFFF"/>
            <w:tcMar>
              <w:top w:w="55" w:type="dxa"/>
              <w:start w:w="55" w:type="dxa"/>
              <w:bottom w:w="55" w:type="dxa"/>
              <w:end w:w="55" w:type="dxa"/>
            </w:tcMar>
            <w:vAlign w:val="top"/>
          </w:tcPr>
          <w:p>
            <w:r>
              <w:rPr>
                <w:rFonts w:ascii="Aptos" w:hAnsi="Aptos"/>
                <w:sz w:val="15"/>
              </w:rPr>
              <w:t>Built; production capacity remains unverified.</w:t>
            </w:r>
          </w:p>
        </w:tc>
      </w:tr>
      <w:tr>
        <w:tc>
          <w:tcPr>
            <w:tcW w:type="dxa" w:w="2896"/>
            <w:shd w:fill="F3F5F2"/>
            <w:tcMar>
              <w:top w:w="55" w:type="dxa"/>
              <w:start w:w="55" w:type="dxa"/>
              <w:bottom w:w="55" w:type="dxa"/>
              <w:end w:w="55" w:type="dxa"/>
            </w:tcMar>
            <w:vAlign w:val="top"/>
          </w:tcPr>
          <w:p>
            <w:r>
              <w:rPr>
                <w:rFonts w:ascii="Aptos" w:hAnsi="Aptos"/>
                <w:sz w:val="15"/>
              </w:rPr>
              <w:t>Automatic attendance</w:t>
            </w:r>
          </w:p>
        </w:tc>
        <w:tc>
          <w:tcPr>
            <w:tcW w:type="dxa" w:w="2896"/>
            <w:shd w:fill="F3F5F2"/>
            <w:tcMar>
              <w:top w:w="55" w:type="dxa"/>
              <w:start w:w="55" w:type="dxa"/>
              <w:bottom w:w="55" w:type="dxa"/>
              <w:end w:w="55" w:type="dxa"/>
            </w:tcMar>
            <w:vAlign w:val="top"/>
          </w:tcPr>
          <w:p>
            <w:r>
              <w:rPr>
                <w:rFonts w:ascii="Aptos" w:hAnsi="Aptos"/>
                <w:sz w:val="15"/>
              </w:rPr>
              <w:t>Lu &amp; Cutumisu (2022)</w:t>
            </w:r>
          </w:p>
        </w:tc>
        <w:tc>
          <w:tcPr>
            <w:tcW w:type="dxa" w:w="2896"/>
            <w:shd w:fill="F3F5F2"/>
            <w:tcMar>
              <w:top w:w="55" w:type="dxa"/>
              <w:start w:w="55" w:type="dxa"/>
              <w:bottom w:w="55" w:type="dxa"/>
              <w:end w:w="55" w:type="dxa"/>
            </w:tcMar>
            <w:vAlign w:val="top"/>
          </w:tcPr>
          <w:p>
            <w:r>
              <w:rPr>
                <w:rFonts w:ascii="Aptos" w:hAnsi="Aptos"/>
                <w:sz w:val="15"/>
              </w:rPr>
              <w:t>Attendance alone is an incomplete academic indicator.</w:t>
            </w:r>
          </w:p>
        </w:tc>
        <w:tc>
          <w:tcPr>
            <w:tcW w:type="dxa" w:w="2896"/>
            <w:shd w:fill="F3F5F2"/>
            <w:tcMar>
              <w:top w:w="55" w:type="dxa"/>
              <w:start w:w="55" w:type="dxa"/>
              <w:bottom w:w="55" w:type="dxa"/>
              <w:end w:w="55" w:type="dxa"/>
            </w:tcMar>
            <w:vAlign w:val="top"/>
          </w:tcPr>
          <w:p>
            <w:r>
              <w:rPr>
                <w:rFonts w:ascii="Aptos" w:hAnsi="Aptos"/>
                <w:sz w:val="15"/>
              </w:rPr>
              <w:t>Actual join-leave duration plus assessment and engagement evidence.</w:t>
            </w:r>
          </w:p>
        </w:tc>
        <w:tc>
          <w:tcPr>
            <w:tcW w:type="dxa" w:w="2896"/>
            <w:shd w:fill="F3F5F2"/>
            <w:tcMar>
              <w:top w:w="55" w:type="dxa"/>
              <w:start w:w="55" w:type="dxa"/>
              <w:bottom w:w="55" w:type="dxa"/>
              <w:end w:w="55" w:type="dxa"/>
            </w:tcMar>
            <w:vAlign w:val="top"/>
          </w:tcPr>
          <w:p>
            <w:r>
              <w:rPr>
                <w:rFonts w:ascii="Aptos" w:hAnsi="Aptos"/>
                <w:sz w:val="15"/>
              </w:rPr>
              <w:t>Built.</w:t>
            </w:r>
          </w:p>
        </w:tc>
      </w:tr>
      <w:tr>
        <w:tc>
          <w:tcPr>
            <w:tcW w:type="dxa" w:w="2896"/>
            <w:shd w:fill="FFFFFF"/>
            <w:tcMar>
              <w:top w:w="55" w:type="dxa"/>
              <w:start w:w="55" w:type="dxa"/>
              <w:bottom w:w="55" w:type="dxa"/>
              <w:end w:w="55" w:type="dxa"/>
            </w:tcMar>
            <w:vAlign w:val="top"/>
          </w:tcPr>
          <w:p>
            <w:r>
              <w:rPr>
                <w:rFonts w:ascii="Aptos" w:hAnsi="Aptos"/>
                <w:sz w:val="15"/>
              </w:rPr>
              <w:t>Assignments, quizzes and coding</w:t>
            </w:r>
          </w:p>
        </w:tc>
        <w:tc>
          <w:tcPr>
            <w:tcW w:type="dxa" w:w="2896"/>
            <w:shd w:fill="FFFFFF"/>
            <w:tcMar>
              <w:top w:w="55" w:type="dxa"/>
              <w:start w:w="55" w:type="dxa"/>
              <w:bottom w:w="55" w:type="dxa"/>
              <w:end w:w="55" w:type="dxa"/>
            </w:tcMar>
            <w:vAlign w:val="top"/>
          </w:tcPr>
          <w:p>
            <w:r>
              <w:rPr>
                <w:rFonts w:ascii="Aptos" w:hAnsi="Aptos"/>
                <w:sz w:val="15"/>
              </w:rPr>
              <w:t>Lu &amp; Cutumisu (2022); Nayak et al. (2024)</w:t>
            </w:r>
          </w:p>
        </w:tc>
        <w:tc>
          <w:tcPr>
            <w:tcW w:type="dxa" w:w="2896"/>
            <w:shd w:fill="FFFFFF"/>
            <w:tcMar>
              <w:top w:w="55" w:type="dxa"/>
              <w:start w:w="55" w:type="dxa"/>
              <w:bottom w:w="55" w:type="dxa"/>
              <w:end w:w="55" w:type="dxa"/>
            </w:tcMar>
            <w:vAlign w:val="top"/>
          </w:tcPr>
          <w:p>
            <w:r>
              <w:rPr>
                <w:rFonts w:ascii="Aptos" w:hAnsi="Aptos"/>
                <w:sz w:val="15"/>
              </w:rPr>
              <w:t>Formative assessment matters; automated assessment still needs trustworthy validation and feedback design.</w:t>
            </w:r>
          </w:p>
        </w:tc>
        <w:tc>
          <w:tcPr>
            <w:tcW w:type="dxa" w:w="2896"/>
            <w:shd w:fill="FFFFFF"/>
            <w:tcMar>
              <w:top w:w="55" w:type="dxa"/>
              <w:start w:w="55" w:type="dxa"/>
              <w:bottom w:w="55" w:type="dxa"/>
              <w:end w:w="55" w:type="dxa"/>
            </w:tcMar>
            <w:vAlign w:val="top"/>
          </w:tcPr>
          <w:p>
            <w:r>
              <w:rPr>
                <w:rFonts w:ascii="Aptos" w:hAnsi="Aptos"/>
                <w:sz w:val="15"/>
              </w:rPr>
              <w:t>Course-scoped work, auto-graded MCQ, programming tests and faculty grading.</w:t>
            </w:r>
          </w:p>
        </w:tc>
        <w:tc>
          <w:tcPr>
            <w:tcW w:type="dxa" w:w="2896"/>
            <w:shd w:fill="FFFFFF"/>
            <w:tcMar>
              <w:top w:w="55" w:type="dxa"/>
              <w:start w:w="55" w:type="dxa"/>
              <w:bottom w:w="55" w:type="dxa"/>
              <w:end w:w="55" w:type="dxa"/>
            </w:tcMar>
            <w:vAlign w:val="top"/>
          </w:tcPr>
          <w:p>
            <w:r>
              <w:rPr>
                <w:rFonts w:ascii="Aptos" w:hAnsi="Aptos"/>
                <w:sz w:val="15"/>
              </w:rPr>
              <w:t>Built; text-answer automation remains future work.</w:t>
            </w:r>
          </w:p>
        </w:tc>
      </w:tr>
      <w:tr>
        <w:tc>
          <w:tcPr>
            <w:tcW w:type="dxa" w:w="2896"/>
            <w:shd w:fill="F3F5F2"/>
            <w:tcMar>
              <w:top w:w="55" w:type="dxa"/>
              <w:start w:w="55" w:type="dxa"/>
              <w:bottom w:w="55" w:type="dxa"/>
              <w:end w:w="55" w:type="dxa"/>
            </w:tcMar>
            <w:vAlign w:val="top"/>
          </w:tcPr>
          <w:p>
            <w:r>
              <w:rPr>
                <w:rFonts w:ascii="Aptos" w:hAnsi="Aptos"/>
                <w:sz w:val="15"/>
              </w:rPr>
              <w:t>Progress intelligence</w:t>
            </w:r>
          </w:p>
        </w:tc>
        <w:tc>
          <w:tcPr>
            <w:tcW w:type="dxa" w:w="2896"/>
            <w:shd w:fill="F3F5F2"/>
            <w:tcMar>
              <w:top w:w="55" w:type="dxa"/>
              <w:start w:w="55" w:type="dxa"/>
              <w:bottom w:w="55" w:type="dxa"/>
              <w:end w:w="55" w:type="dxa"/>
            </w:tcMar>
            <w:vAlign w:val="top"/>
          </w:tcPr>
          <w:p>
            <w:r>
              <w:rPr>
                <w:rFonts w:ascii="Aptos" w:hAnsi="Aptos"/>
                <w:sz w:val="15"/>
              </w:rPr>
              <w:t>Ramaswami et al. (2023)</w:t>
            </w:r>
          </w:p>
        </w:tc>
        <w:tc>
          <w:tcPr>
            <w:tcW w:type="dxa" w:w="2896"/>
            <w:shd w:fill="F3F5F2"/>
            <w:tcMar>
              <w:top w:w="55" w:type="dxa"/>
              <w:start w:w="55" w:type="dxa"/>
              <w:bottom w:w="55" w:type="dxa"/>
              <w:end w:w="55" w:type="dxa"/>
            </w:tcMar>
            <w:vAlign w:val="top"/>
          </w:tcPr>
          <w:p>
            <w:r>
              <w:rPr>
                <w:rFonts w:ascii="Aptos" w:hAnsi="Aptos"/>
                <w:sz w:val="15"/>
              </w:rPr>
              <w:t>Risk dashboards often lack explainability and actionable guidance.</w:t>
            </w:r>
          </w:p>
        </w:tc>
        <w:tc>
          <w:tcPr>
            <w:tcW w:type="dxa" w:w="2896"/>
            <w:shd w:fill="F3F5F2"/>
            <w:tcMar>
              <w:top w:w="55" w:type="dxa"/>
              <w:start w:w="55" w:type="dxa"/>
              <w:bottom w:w="55" w:type="dxa"/>
              <w:end w:w="55" w:type="dxa"/>
            </w:tcMar>
            <w:vAlign w:val="top"/>
          </w:tcPr>
          <w:p>
            <w:r>
              <w:rPr>
                <w:rFonts w:ascii="Aptos" w:hAnsi="Aptos"/>
                <w:sz w:val="15"/>
              </w:rPr>
              <w:t>Transparent levels, threshold reasons, evidence counts and support actions.</w:t>
            </w:r>
          </w:p>
        </w:tc>
        <w:tc>
          <w:tcPr>
            <w:tcW w:type="dxa" w:w="2896"/>
            <w:shd w:fill="F3F5F2"/>
            <w:tcMar>
              <w:top w:w="55" w:type="dxa"/>
              <w:start w:w="55" w:type="dxa"/>
              <w:bottom w:w="55" w:type="dxa"/>
              <w:end w:w="55" w:type="dxa"/>
            </w:tcMar>
            <w:vAlign w:val="top"/>
          </w:tcPr>
          <w:p>
            <w:r>
              <w:rPr>
                <w:rFonts w:ascii="Aptos" w:hAnsi="Aptos"/>
                <w:sz w:val="15"/>
              </w:rPr>
              <w:t>Built and read-only.</w:t>
            </w:r>
          </w:p>
        </w:tc>
      </w:tr>
      <w:tr>
        <w:tc>
          <w:tcPr>
            <w:tcW w:type="dxa" w:w="2896"/>
            <w:shd w:fill="FFFFFF"/>
            <w:tcMar>
              <w:top w:w="55" w:type="dxa"/>
              <w:start w:w="55" w:type="dxa"/>
              <w:bottom w:w="55" w:type="dxa"/>
              <w:end w:w="55" w:type="dxa"/>
            </w:tcMar>
            <w:vAlign w:val="top"/>
          </w:tcPr>
          <w:p>
            <w:r>
              <w:rPr>
                <w:rFonts w:ascii="Aptos" w:hAnsi="Aptos"/>
                <w:sz w:val="15"/>
              </w:rPr>
              <w:t>AI command and content support</w:t>
            </w:r>
          </w:p>
        </w:tc>
        <w:tc>
          <w:tcPr>
            <w:tcW w:type="dxa" w:w="2896"/>
            <w:shd w:fill="FFFFFF"/>
            <w:tcMar>
              <w:top w:w="55" w:type="dxa"/>
              <w:start w:w="55" w:type="dxa"/>
              <w:bottom w:w="55" w:type="dxa"/>
              <w:end w:w="55" w:type="dxa"/>
            </w:tcMar>
            <w:vAlign w:val="top"/>
          </w:tcPr>
          <w:p>
            <w:r>
              <w:rPr>
                <w:rFonts w:ascii="Aptos" w:hAnsi="Aptos"/>
                <w:sz w:val="15"/>
              </w:rPr>
              <w:t>Zawacki-Richter et al. (2019); Bond et al. (2024)</w:t>
            </w:r>
          </w:p>
        </w:tc>
        <w:tc>
          <w:tcPr>
            <w:tcW w:type="dxa" w:w="2896"/>
            <w:shd w:fill="FFFFFF"/>
            <w:tcMar>
              <w:top w:w="55" w:type="dxa"/>
              <w:start w:w="55" w:type="dxa"/>
              <w:bottom w:w="55" w:type="dxa"/>
              <w:end w:w="55" w:type="dxa"/>
            </w:tcMar>
            <w:vAlign w:val="top"/>
          </w:tcPr>
          <w:p>
            <w:r>
              <w:rPr>
                <w:rFonts w:ascii="Aptos" w:hAnsi="Aptos"/>
                <w:sz w:val="15"/>
              </w:rPr>
              <w:t>AI research lacks educator participation, ethics and context.</w:t>
            </w:r>
          </w:p>
        </w:tc>
        <w:tc>
          <w:tcPr>
            <w:tcW w:type="dxa" w:w="2896"/>
            <w:shd w:fill="FFFFFF"/>
            <w:tcMar>
              <w:top w:w="55" w:type="dxa"/>
              <w:start w:w="55" w:type="dxa"/>
              <w:bottom w:w="55" w:type="dxa"/>
              <w:end w:w="55" w:type="dxa"/>
            </w:tcMar>
            <w:vAlign w:val="top"/>
          </w:tcPr>
          <w:p>
            <w:r>
              <w:rPr>
                <w:rFonts w:ascii="Aptos" w:hAnsi="Aptos"/>
                <w:sz w:val="15"/>
              </w:rPr>
              <w:t>Local intent model, grounded drafts, role revalidation, preview-confirmation and audit history.</w:t>
            </w:r>
          </w:p>
        </w:tc>
        <w:tc>
          <w:tcPr>
            <w:tcW w:type="dxa" w:w="2896"/>
            <w:shd w:fill="FFFFFF"/>
            <w:tcMar>
              <w:top w:w="55" w:type="dxa"/>
              <w:start w:w="55" w:type="dxa"/>
              <w:bottom w:w="55" w:type="dxa"/>
              <w:end w:w="55" w:type="dxa"/>
            </w:tcMar>
            <w:vAlign w:val="top"/>
          </w:tcPr>
          <w:p>
            <w:r>
              <w:rPr>
                <w:rFonts w:ascii="Aptos" w:hAnsi="Aptos"/>
                <w:sz w:val="15"/>
              </w:rPr>
              <w:t>Built for bounded workflows.</w:t>
            </w:r>
          </w:p>
        </w:tc>
      </w:tr>
      <w:tr>
        <w:tc>
          <w:tcPr>
            <w:tcW w:type="dxa" w:w="2896"/>
            <w:shd w:fill="F3F5F2"/>
            <w:tcMar>
              <w:top w:w="55" w:type="dxa"/>
              <w:start w:w="55" w:type="dxa"/>
              <w:bottom w:w="55" w:type="dxa"/>
              <w:end w:w="55" w:type="dxa"/>
            </w:tcMar>
            <w:vAlign w:val="top"/>
          </w:tcPr>
          <w:p>
            <w:r>
              <w:rPr>
                <w:rFonts w:ascii="Aptos" w:hAnsi="Aptos"/>
                <w:sz w:val="15"/>
              </w:rPr>
              <w:t>CGPA roadmap</w:t>
            </w:r>
          </w:p>
        </w:tc>
        <w:tc>
          <w:tcPr>
            <w:tcW w:type="dxa" w:w="2896"/>
            <w:shd w:fill="F3F5F2"/>
            <w:tcMar>
              <w:top w:w="55" w:type="dxa"/>
              <w:start w:w="55" w:type="dxa"/>
              <w:bottom w:w="55" w:type="dxa"/>
              <w:end w:w="55" w:type="dxa"/>
            </w:tcMar>
            <w:vAlign w:val="top"/>
          </w:tcPr>
          <w:p>
            <w:r>
              <w:rPr>
                <w:rFonts w:ascii="Aptos" w:hAnsi="Aptos"/>
                <w:sz w:val="15"/>
              </w:rPr>
              <w:t>Heikkinen et al. (2023); Ramaswami et al. (2023)</w:t>
            </w:r>
          </w:p>
        </w:tc>
        <w:tc>
          <w:tcPr>
            <w:tcW w:type="dxa" w:w="2896"/>
            <w:shd w:fill="F3F5F2"/>
            <w:tcMar>
              <w:top w:w="55" w:type="dxa"/>
              <w:start w:w="55" w:type="dxa"/>
              <w:bottom w:w="55" w:type="dxa"/>
              <w:end w:w="55" w:type="dxa"/>
            </w:tcMar>
            <w:vAlign w:val="top"/>
          </w:tcPr>
          <w:p>
            <w:r>
              <w:rPr>
                <w:rFonts w:ascii="Aptos" w:hAnsi="Aptos"/>
                <w:sz w:val="15"/>
              </w:rPr>
              <w:t>Analytics should support self-regulation and specific actions, not only identify risk.</w:t>
            </w:r>
          </w:p>
        </w:tc>
        <w:tc>
          <w:tcPr>
            <w:tcW w:type="dxa" w:w="2896"/>
            <w:shd w:fill="F3F5F2"/>
            <w:tcMar>
              <w:top w:w="55" w:type="dxa"/>
              <w:start w:w="55" w:type="dxa"/>
              <w:bottom w:w="55" w:type="dxa"/>
              <w:end w:w="55" w:type="dxa"/>
            </w:tcMar>
            <w:vAlign w:val="top"/>
          </w:tcPr>
          <w:p>
            <w:r>
              <w:rPr>
                <w:rFonts w:ascii="Aptos" w:hAnsi="Aptos"/>
                <w:sz w:val="15"/>
              </w:rPr>
              <w:t>Credit-aware target calculation, course priorities, study-hour allocation and checkpoints.</w:t>
            </w:r>
          </w:p>
        </w:tc>
        <w:tc>
          <w:tcPr>
            <w:tcW w:type="dxa" w:w="2896"/>
            <w:shd w:fill="F3F5F2"/>
            <w:tcMar>
              <w:top w:w="55" w:type="dxa"/>
              <w:start w:w="55" w:type="dxa"/>
              <w:bottom w:w="55" w:type="dxa"/>
              <w:end w:w="55" w:type="dxa"/>
            </w:tcMar>
            <w:vAlign w:val="top"/>
          </w:tcPr>
          <w:p>
            <w:r>
              <w:rPr>
                <w:rFonts w:ascii="Aptos" w:hAnsi="Aptos"/>
                <w:sz w:val="15"/>
              </w:rPr>
              <w:t>Built as a projection, never an official result.</w:t>
            </w:r>
          </w:p>
        </w:tc>
      </w:tr>
      <w:tr>
        <w:tc>
          <w:tcPr>
            <w:tcW w:type="dxa" w:w="2896"/>
            <w:shd w:fill="FFFFFF"/>
            <w:tcMar>
              <w:top w:w="55" w:type="dxa"/>
              <w:start w:w="55" w:type="dxa"/>
              <w:bottom w:w="55" w:type="dxa"/>
              <w:end w:w="55" w:type="dxa"/>
            </w:tcMar>
            <w:vAlign w:val="top"/>
          </w:tcPr>
          <w:p>
            <w:r>
              <w:rPr>
                <w:rFonts w:ascii="Aptos" w:hAnsi="Aptos"/>
                <w:sz w:val="15"/>
              </w:rPr>
              <w:t>Course Q&amp;A and resources</w:t>
            </w:r>
          </w:p>
        </w:tc>
        <w:tc>
          <w:tcPr>
            <w:tcW w:type="dxa" w:w="2896"/>
            <w:shd w:fill="FFFFFF"/>
            <w:tcMar>
              <w:top w:w="55" w:type="dxa"/>
              <w:start w:w="55" w:type="dxa"/>
              <w:bottom w:w="55" w:type="dxa"/>
              <w:end w:w="55" w:type="dxa"/>
            </w:tcMar>
            <w:vAlign w:val="top"/>
          </w:tcPr>
          <w:p>
            <w:r>
              <w:rPr>
                <w:rFonts w:ascii="Aptos" w:hAnsi="Aptos"/>
                <w:sz w:val="15"/>
              </w:rPr>
              <w:t>Deschenes (2020)</w:t>
            </w:r>
          </w:p>
        </w:tc>
        <w:tc>
          <w:tcPr>
            <w:tcW w:type="dxa" w:w="2896"/>
            <w:shd w:fill="FFFFFF"/>
            <w:tcMar>
              <w:top w:w="55" w:type="dxa"/>
              <w:start w:w="55" w:type="dxa"/>
              <w:bottom w:w="55" w:type="dxa"/>
              <w:end w:w="55" w:type="dxa"/>
            </w:tcMar>
            <w:vAlign w:val="top"/>
          </w:tcPr>
          <w:p>
            <w:r>
              <w:rPr>
                <w:rFonts w:ascii="Aptos" w:hAnsi="Aptos"/>
                <w:sz w:val="15"/>
              </w:rPr>
              <w:t>Recommenders require evaluation and must preserve learner agency.</w:t>
            </w:r>
          </w:p>
        </w:tc>
        <w:tc>
          <w:tcPr>
            <w:tcW w:type="dxa" w:w="2896"/>
            <w:shd w:fill="FFFFFF"/>
            <w:tcMar>
              <w:top w:w="55" w:type="dxa"/>
              <w:start w:w="55" w:type="dxa"/>
              <w:bottom w:w="55" w:type="dxa"/>
              <w:end w:w="55" w:type="dxa"/>
            </w:tcMar>
            <w:vAlign w:val="top"/>
          </w:tcPr>
          <w:p>
            <w:r>
              <w:rPr>
                <w:rFonts w:ascii="Aptos" w:hAnsi="Aptos"/>
                <w:sz w:val="15"/>
              </w:rPr>
              <w:t>Faculty-approved course corpus, source citations and optional recommendations.</w:t>
            </w:r>
          </w:p>
        </w:tc>
        <w:tc>
          <w:tcPr>
            <w:tcW w:type="dxa" w:w="2896"/>
            <w:shd w:fill="FFFFFF"/>
            <w:tcMar>
              <w:top w:w="55" w:type="dxa"/>
              <w:start w:w="55" w:type="dxa"/>
              <w:bottom w:w="55" w:type="dxa"/>
              <w:end w:w="55" w:type="dxa"/>
            </w:tcMar>
            <w:vAlign w:val="top"/>
          </w:tcPr>
          <w:p>
            <w:r>
              <w:rPr>
                <w:rFonts w:ascii="Aptos" w:hAnsi="Aptos"/>
                <w:sz w:val="15"/>
              </w:rPr>
              <w:t>Grounded Q&amp;A built; internet-resource recommendation remains planned.</w:t>
            </w:r>
          </w:p>
        </w:tc>
      </w:tr>
      <w:tr>
        <w:tc>
          <w:tcPr>
            <w:tcW w:type="dxa" w:w="2896"/>
            <w:shd w:fill="F3F5F2"/>
            <w:tcMar>
              <w:top w:w="55" w:type="dxa"/>
              <w:start w:w="55" w:type="dxa"/>
              <w:bottom w:w="55" w:type="dxa"/>
              <w:end w:w="55" w:type="dxa"/>
            </w:tcMar>
            <w:vAlign w:val="top"/>
          </w:tcPr>
          <w:p>
            <w:r>
              <w:rPr>
                <w:rFonts w:ascii="Aptos" w:hAnsi="Aptos"/>
                <w:sz w:val="15"/>
              </w:rPr>
              <w:t>ERP integration</w:t>
            </w:r>
          </w:p>
        </w:tc>
        <w:tc>
          <w:tcPr>
            <w:tcW w:type="dxa" w:w="2896"/>
            <w:shd w:fill="F3F5F2"/>
            <w:tcMar>
              <w:top w:w="55" w:type="dxa"/>
              <w:start w:w="55" w:type="dxa"/>
              <w:bottom w:w="55" w:type="dxa"/>
              <w:end w:w="55" w:type="dxa"/>
            </w:tcMar>
            <w:vAlign w:val="top"/>
          </w:tcPr>
          <w:p>
            <w:r>
              <w:rPr>
                <w:rFonts w:ascii="Aptos" w:hAnsi="Aptos"/>
                <w:sz w:val="15"/>
              </w:rPr>
              <w:t>Sholeh et al. (2025)</w:t>
            </w:r>
          </w:p>
        </w:tc>
        <w:tc>
          <w:tcPr>
            <w:tcW w:type="dxa" w:w="2896"/>
            <w:shd w:fill="F3F5F2"/>
            <w:tcMar>
              <w:top w:w="55" w:type="dxa"/>
              <w:start w:w="55" w:type="dxa"/>
              <w:bottom w:w="55" w:type="dxa"/>
              <w:end w:w="55" w:type="dxa"/>
            </w:tcMar>
            <w:vAlign w:val="top"/>
          </w:tcPr>
          <w:p>
            <w:r>
              <w:rPr>
                <w:rFonts w:ascii="Aptos" w:hAnsi="Aptos"/>
                <w:sz w:val="15"/>
              </w:rPr>
              <w:t>ERP value is constrained by complexity, infrastructure and organizational adoption.</w:t>
            </w:r>
          </w:p>
        </w:tc>
        <w:tc>
          <w:tcPr>
            <w:tcW w:type="dxa" w:w="2896"/>
            <w:shd w:fill="F3F5F2"/>
            <w:tcMar>
              <w:top w:w="55" w:type="dxa"/>
              <w:start w:w="55" w:type="dxa"/>
              <w:bottom w:w="55" w:type="dxa"/>
              <w:end w:w="55" w:type="dxa"/>
            </w:tcMar>
            <w:vAlign w:val="top"/>
          </w:tcPr>
          <w:p>
            <w:r>
              <w:rPr>
                <w:rFonts w:ascii="Aptos" w:hAnsi="Aptos"/>
                <w:sz w:val="15"/>
              </w:rPr>
              <w:t>Reviewed imports, stable official IDs, encrypted token, idempotent sync and retry ledger.</w:t>
            </w:r>
          </w:p>
        </w:tc>
        <w:tc>
          <w:tcPr>
            <w:tcW w:type="dxa" w:w="2896"/>
            <w:shd w:fill="F3F5F2"/>
            <w:tcMar>
              <w:top w:w="55" w:type="dxa"/>
              <w:start w:w="55" w:type="dxa"/>
              <w:bottom w:w="55" w:type="dxa"/>
              <w:end w:w="55" w:type="dxa"/>
            </w:tcMar>
            <w:vAlign w:val="top"/>
          </w:tcPr>
          <w:p>
            <w:r>
              <w:rPr>
                <w:rFonts w:ascii="Aptos" w:hAnsi="Aptos"/>
                <w:sz w:val="15"/>
              </w:rPr>
              <w:t>Connector and sandbox built; real ERP validation pending.</w:t>
            </w:r>
          </w:p>
        </w:tc>
      </w:tr>
      <w:tr>
        <w:tc>
          <w:tcPr>
            <w:tcW w:type="dxa" w:w="2896"/>
            <w:shd w:fill="FFFFFF"/>
            <w:tcMar>
              <w:top w:w="55" w:type="dxa"/>
              <w:start w:w="55" w:type="dxa"/>
              <w:bottom w:w="55" w:type="dxa"/>
              <w:end w:w="55" w:type="dxa"/>
            </w:tcMar>
            <w:vAlign w:val="top"/>
          </w:tcPr>
          <w:p>
            <w:r>
              <w:rPr>
                <w:rFonts w:ascii="Aptos" w:hAnsi="Aptos"/>
                <w:sz w:val="15"/>
              </w:rPr>
              <w:t>Gamification</w:t>
            </w:r>
          </w:p>
        </w:tc>
        <w:tc>
          <w:tcPr>
            <w:tcW w:type="dxa" w:w="2896"/>
            <w:shd w:fill="FFFFFF"/>
            <w:tcMar>
              <w:top w:w="55" w:type="dxa"/>
              <w:start w:w="55" w:type="dxa"/>
              <w:bottom w:w="55" w:type="dxa"/>
              <w:end w:w="55" w:type="dxa"/>
            </w:tcMar>
            <w:vAlign w:val="top"/>
          </w:tcPr>
          <w:p>
            <w:r>
              <w:rPr>
                <w:rFonts w:ascii="Aptos" w:hAnsi="Aptos"/>
                <w:sz w:val="15"/>
              </w:rPr>
              <w:t>Sailer &amp; Homner (2020); Khaldi et al. (2023)</w:t>
            </w:r>
          </w:p>
        </w:tc>
        <w:tc>
          <w:tcPr>
            <w:tcW w:type="dxa" w:w="2896"/>
            <w:shd w:fill="FFFFFF"/>
            <w:tcMar>
              <w:top w:w="55" w:type="dxa"/>
              <w:start w:w="55" w:type="dxa"/>
              <w:bottom w:w="55" w:type="dxa"/>
              <w:end w:w="55" w:type="dxa"/>
            </w:tcMar>
            <w:vAlign w:val="top"/>
          </w:tcPr>
          <w:p>
            <w:r>
              <w:rPr>
                <w:rFonts w:ascii="Aptos" w:hAnsi="Aptos"/>
                <w:sz w:val="15"/>
              </w:rPr>
              <w:t>Effects vary; many systems use points, badges and leaderboards without theory or personalization.</w:t>
            </w:r>
          </w:p>
        </w:tc>
        <w:tc>
          <w:tcPr>
            <w:tcW w:type="dxa" w:w="2896"/>
            <w:shd w:fill="FFFFFF"/>
            <w:tcMar>
              <w:top w:w="55" w:type="dxa"/>
              <w:start w:w="55" w:type="dxa"/>
              <w:bottom w:w="55" w:type="dxa"/>
              <w:end w:w="55" w:type="dxa"/>
            </w:tcMar>
            <w:vAlign w:val="top"/>
          </w:tcPr>
          <w:p>
            <w:r>
              <w:rPr>
                <w:rFonts w:ascii="Aptos" w:hAnsi="Aptos"/>
                <w:sz w:val="15"/>
              </w:rPr>
              <w:t>Verified points ledger, opt-in leaderboard, badges, streaks and collaborative challenges with audit rules.</w:t>
            </w:r>
          </w:p>
        </w:tc>
        <w:tc>
          <w:tcPr>
            <w:tcW w:type="dxa" w:w="2896"/>
            <w:shd w:fill="FFFFFF"/>
            <w:tcMar>
              <w:top w:w="55" w:type="dxa"/>
              <w:start w:w="55" w:type="dxa"/>
              <w:bottom w:w="55" w:type="dxa"/>
              <w:end w:w="55" w:type="dxa"/>
            </w:tcMar>
            <w:vAlign w:val="top"/>
          </w:tcPr>
          <w:p>
            <w:r>
              <w:rPr>
                <w:rFonts w:ascii="Aptos" w:hAnsi="Aptos"/>
                <w:sz w:val="15"/>
              </w:rPr>
              <w:t>Leaderboard UI only; full engine is proposed.</w:t>
            </w:r>
          </w:p>
        </w:tc>
      </w:tr>
      <w:tr>
        <w:tc>
          <w:tcPr>
            <w:tcW w:type="dxa" w:w="2896"/>
            <w:shd w:fill="F3F5F2"/>
            <w:tcMar>
              <w:top w:w="55" w:type="dxa"/>
              <w:start w:w="55" w:type="dxa"/>
              <w:bottom w:w="55" w:type="dxa"/>
              <w:end w:w="55" w:type="dxa"/>
            </w:tcMar>
            <w:vAlign w:val="top"/>
          </w:tcPr>
          <w:p>
            <w:r>
              <w:rPr>
                <w:rFonts w:ascii="Aptos" w:hAnsi="Aptos"/>
                <w:sz w:val="15"/>
              </w:rPr>
              <w:t>Lecture notes from recordings</w:t>
            </w:r>
          </w:p>
        </w:tc>
        <w:tc>
          <w:tcPr>
            <w:tcW w:type="dxa" w:w="2896"/>
            <w:shd w:fill="F3F5F2"/>
            <w:tcMar>
              <w:top w:w="55" w:type="dxa"/>
              <w:start w:w="55" w:type="dxa"/>
              <w:bottom w:w="55" w:type="dxa"/>
              <w:end w:w="55" w:type="dxa"/>
            </w:tcMar>
            <w:vAlign w:val="top"/>
          </w:tcPr>
          <w:p>
            <w:r>
              <w:rPr>
                <w:rFonts w:ascii="Aptos" w:hAnsi="Aptos"/>
                <w:sz w:val="15"/>
              </w:rPr>
              <w:t>Yuan &amp; Zesch (2023)</w:t>
            </w:r>
          </w:p>
        </w:tc>
        <w:tc>
          <w:tcPr>
            <w:tcW w:type="dxa" w:w="2896"/>
            <w:shd w:fill="F3F5F2"/>
            <w:tcMar>
              <w:top w:w="55" w:type="dxa"/>
              <w:start w:w="55" w:type="dxa"/>
              <w:bottom w:w="55" w:type="dxa"/>
              <w:end w:w="55" w:type="dxa"/>
            </w:tcMar>
            <w:vAlign w:val="top"/>
          </w:tcPr>
          <w:p>
            <w:r>
              <w:rPr>
                <w:rFonts w:ascii="Aptos" w:hAnsi="Aptos"/>
                <w:sz w:val="15"/>
              </w:rPr>
              <w:t>Automatic summaries can help, but generated content and ASR evidence require verification.</w:t>
            </w:r>
          </w:p>
        </w:tc>
        <w:tc>
          <w:tcPr>
            <w:tcW w:type="dxa" w:w="2896"/>
            <w:shd w:fill="F3F5F2"/>
            <w:tcMar>
              <w:top w:w="55" w:type="dxa"/>
              <w:start w:w="55" w:type="dxa"/>
              <w:bottom w:w="55" w:type="dxa"/>
              <w:end w:w="55" w:type="dxa"/>
            </w:tcMar>
            <w:vAlign w:val="top"/>
          </w:tcPr>
          <w:p>
            <w:r>
              <w:rPr>
                <w:rFonts w:ascii="Aptos" w:hAnsi="Aptos"/>
                <w:sz w:val="15"/>
              </w:rPr>
              <w:t>Private recording pipeline, source-linked transcript and faculty statement review before publication.</w:t>
            </w:r>
          </w:p>
        </w:tc>
        <w:tc>
          <w:tcPr>
            <w:tcW w:type="dxa" w:w="2896"/>
            <w:shd w:fill="F3F5F2"/>
            <w:tcMar>
              <w:top w:w="55" w:type="dxa"/>
              <w:start w:w="55" w:type="dxa"/>
              <w:bottom w:w="55" w:type="dxa"/>
              <w:end w:w="55" w:type="dxa"/>
            </w:tcMar>
            <w:vAlign w:val="top"/>
          </w:tcPr>
          <w:p>
            <w:r>
              <w:rPr>
                <w:rFonts w:ascii="Aptos" w:hAnsi="Aptos"/>
                <w:sz w:val="15"/>
              </w:rPr>
              <w:t>Pipeline contract built; trained speech/OCR models and real automatic transcription pending.</w:t>
            </w:r>
          </w:p>
        </w:tc>
      </w:tr>
      <w:tr>
        <w:tc>
          <w:tcPr>
            <w:tcW w:type="dxa" w:w="2896"/>
            <w:shd w:fill="FFFFFF"/>
            <w:tcMar>
              <w:top w:w="55" w:type="dxa"/>
              <w:start w:w="55" w:type="dxa"/>
              <w:bottom w:w="55" w:type="dxa"/>
              <w:end w:w="55" w:type="dxa"/>
            </w:tcMar>
            <w:vAlign w:val="top"/>
          </w:tcPr>
          <w:p>
            <w:r>
              <w:rPr>
                <w:rFonts w:ascii="Aptos" w:hAnsi="Aptos"/>
                <w:sz w:val="15"/>
              </w:rPr>
              <w:t>Handwriting assessment</w:t>
            </w:r>
          </w:p>
        </w:tc>
        <w:tc>
          <w:tcPr>
            <w:tcW w:type="dxa" w:w="2896"/>
            <w:shd w:fill="FFFFFF"/>
            <w:tcMar>
              <w:top w:w="55" w:type="dxa"/>
              <w:start w:w="55" w:type="dxa"/>
              <w:bottom w:w="55" w:type="dxa"/>
              <w:end w:w="55" w:type="dxa"/>
            </w:tcMar>
            <w:vAlign w:val="top"/>
          </w:tcPr>
          <w:p>
            <w:r>
              <w:rPr>
                <w:rFonts w:ascii="Aptos" w:hAnsi="Aptos"/>
                <w:sz w:val="15"/>
              </w:rPr>
              <w:t>e Silva et al. (2024)</w:t>
            </w:r>
          </w:p>
        </w:tc>
        <w:tc>
          <w:tcPr>
            <w:tcW w:type="dxa" w:w="2896"/>
            <w:shd w:fill="FFFFFF"/>
            <w:tcMar>
              <w:top w:w="55" w:type="dxa"/>
              <w:start w:w="55" w:type="dxa"/>
              <w:bottom w:w="55" w:type="dxa"/>
              <w:end w:w="55" w:type="dxa"/>
            </w:tcMar>
            <w:vAlign w:val="top"/>
          </w:tcPr>
          <w:p>
            <w:r>
              <w:rPr>
                <w:rFonts w:ascii="Aptos" w:hAnsi="Aptos"/>
                <w:sz w:val="15"/>
              </w:rPr>
              <w:t>Dataset diversity, validation and deployment context remain unresolved.</w:t>
            </w:r>
          </w:p>
        </w:tc>
        <w:tc>
          <w:tcPr>
            <w:tcW w:type="dxa" w:w="2896"/>
            <w:shd w:fill="FFFFFF"/>
            <w:tcMar>
              <w:top w:w="55" w:type="dxa"/>
              <w:start w:w="55" w:type="dxa"/>
              <w:bottom w:w="55" w:type="dxa"/>
              <w:end w:w="55" w:type="dxa"/>
            </w:tcMar>
            <w:vAlign w:val="top"/>
          </w:tcPr>
          <w:p>
            <w:r>
              <w:rPr>
                <w:rFonts w:ascii="Aptos" w:hAnsi="Aptos"/>
                <w:sz w:val="15"/>
              </w:rPr>
              <w:t>Institution-approved dataset, OCR confidence, teacher correction and no automatic final grading.</w:t>
            </w:r>
          </w:p>
        </w:tc>
        <w:tc>
          <w:tcPr>
            <w:tcW w:type="dxa" w:w="2896"/>
            <w:shd w:fill="FFFFFF"/>
            <w:tcMar>
              <w:top w:w="55" w:type="dxa"/>
              <w:start w:w="55" w:type="dxa"/>
              <w:bottom w:w="55" w:type="dxa"/>
              <w:end w:w="55" w:type="dxa"/>
            </w:tcMar>
            <w:vAlign w:val="top"/>
          </w:tcPr>
          <w:p>
            <w:r>
              <w:rPr>
                <w:rFonts w:ascii="Aptos" w:hAnsi="Aptos"/>
                <w:sz w:val="15"/>
              </w:rPr>
              <w:t>Future research.</w:t>
            </w:r>
          </w:p>
        </w:tc>
      </w:tr>
    </w:tbl>
    <w:p>
      <w:pPr>
        <w:sectPr>
          <w:pgSz w:w="15840" w:h="12240" w:orient="landscape"/>
          <w:pgMar w:top="680" w:right="680" w:bottom="680" w:left="680" w:header="720" w:footer="720" w:gutter="0"/>
          <w:cols w:space="720"/>
          <w:docGrid w:linePitch="360"/>
        </w:sectPr>
      </w:pPr>
    </w:p>
    <w:p>
      <w:pPr>
        <w:pStyle w:val="Heading1"/>
        <w:keepNext/>
      </w:pPr>
      <w:r>
        <w:t>5. Consolidated Research Gap</w:t>
      </w:r>
    </w:p>
    <w:p>
      <w:pPr>
        <w:pStyle w:val="BodyText"/>
      </w:pPr>
      <w:r>
        <w:t>The literature contains strong work on individual components, but the evidence remains fragmented across learning management, synchronous teaching, attendance, analytics, AI, gamification and ERP implementation. The main gap is therefore architectural and evaluative: universities need a role-scoped system that connects verified learning events while showing where each indicator came from, preserving educator review and avoiding unsupported claims about academic causation.</w:t>
      </w:r>
    </w:p>
    <w:p>
      <w:pPr>
        <w:pStyle w:val="Heading2"/>
        <w:keepNext/>
      </w:pPr>
      <w:r>
        <w:t>Gap 1: fragmented evidence</w:t>
      </w:r>
    </w:p>
    <w:p>
      <w:pPr>
        <w:pStyle w:val="BodyText"/>
      </w:pPr>
      <w:r>
        <w:rPr>
          <w:b/>
        </w:rPr>
        <w:t>Evidence:</w:t>
      </w:r>
      <w:r>
        <w:t xml:space="preserve"> Many systems analyze LMS logs, attendance or assessments separately.</w:t>
      </w:r>
    </w:p>
    <w:p>
      <w:pPr>
        <w:pStyle w:val="BodyText"/>
      </w:pPr>
      <w:r>
        <w:rPr>
          <w:b/>
        </w:rPr>
        <w:t>Proposed response:</w:t>
      </w:r>
      <w:r>
        <w:t xml:space="preserve"> Ekeekrta links course activity, live-session duration, assessment and official records under one institution and course model.</w:t>
      </w:r>
    </w:p>
    <w:p>
      <w:pPr>
        <w:pStyle w:val="Heading2"/>
        <w:keepNext/>
      </w:pPr>
      <w:r>
        <w:t>Gap 2: attendance interpreted as achievement</w:t>
      </w:r>
    </w:p>
    <w:p>
      <w:pPr>
        <w:pStyle w:val="BodyText"/>
      </w:pPr>
      <w:r>
        <w:rPr>
          <w:b/>
        </w:rPr>
        <w:t>Evidence:</w:t>
      </w:r>
      <w:r>
        <w:t xml:space="preserve"> The base paper shows that engagement and formative assessment mediate the attendance-performance relationship.</w:t>
      </w:r>
    </w:p>
    <w:p>
      <w:pPr>
        <w:pStyle w:val="BodyText"/>
      </w:pPr>
      <w:r>
        <w:rPr>
          <w:b/>
        </w:rPr>
        <w:t>Proposed response:</w:t>
      </w:r>
      <w:r>
        <w:t xml:space="preserve"> Ekeekrta treats attendance as one input and shows the evidence behind support indicators.</w:t>
      </w:r>
    </w:p>
    <w:p>
      <w:pPr>
        <w:pStyle w:val="Heading2"/>
        <w:keepNext/>
      </w:pPr>
      <w:r>
        <w:t>Gap 3: opaque risk scores</w:t>
      </w:r>
    </w:p>
    <w:p>
      <w:pPr>
        <w:pStyle w:val="BodyText"/>
      </w:pPr>
      <w:r>
        <w:rPr>
          <w:b/>
        </w:rPr>
        <w:t>Evidence:</w:t>
      </w:r>
      <w:r>
        <w:t xml:space="preserve"> Dashboard research reports limited explainability and limited prescriptive guidance.</w:t>
      </w:r>
    </w:p>
    <w:p>
      <w:pPr>
        <w:pStyle w:val="BodyText"/>
      </w:pPr>
      <w:r>
        <w:rPr>
          <w:b/>
        </w:rPr>
        <w:t>Proposed response:</w:t>
      </w:r>
      <w:r>
        <w:t xml:space="preserve"> Ekeekrta exposes thresholds, reasons, evidence counts and suggested actions, and cannot change official marks.</w:t>
      </w:r>
    </w:p>
    <w:p>
      <w:pPr>
        <w:pStyle w:val="Heading2"/>
        <w:keepNext/>
      </w:pPr>
      <w:r>
        <w:t>Gap 4: insufficient educator control</w:t>
      </w:r>
    </w:p>
    <w:p>
      <w:pPr>
        <w:pStyle w:val="BodyText"/>
      </w:pPr>
      <w:r>
        <w:rPr>
          <w:b/>
        </w:rPr>
        <w:t>Evidence:</w:t>
      </w:r>
      <w:r>
        <w:t xml:space="preserve"> AI reviews repeatedly call for educator participation and stronger ethics.</w:t>
      </w:r>
    </w:p>
    <w:p>
      <w:pPr>
        <w:pStyle w:val="BodyText"/>
      </w:pPr>
      <w:r>
        <w:rPr>
          <w:b/>
        </w:rPr>
        <w:t>Proposed response:</w:t>
      </w:r>
      <w:r>
        <w:t xml:space="preserve"> Content and data-changing actions use preview, faculty or administrator confirmation, source grounding and audit history.</w:t>
      </w:r>
    </w:p>
    <w:p>
      <w:pPr>
        <w:pStyle w:val="Heading2"/>
        <w:keepNext/>
      </w:pPr>
      <w:r>
        <w:t>Gap 5: shallow gamification</w:t>
      </w:r>
    </w:p>
    <w:p>
      <w:pPr>
        <w:pStyle w:val="BodyText"/>
      </w:pPr>
      <w:r>
        <w:rPr>
          <w:b/>
        </w:rPr>
        <w:t>Evidence:</w:t>
      </w:r>
      <w:r>
        <w:t xml:space="preserve"> Points and leaderboards dominate, often without motivational theory or evaluation.</w:t>
      </w:r>
    </w:p>
    <w:p>
      <w:pPr>
        <w:pStyle w:val="BodyText"/>
      </w:pPr>
      <w:r>
        <w:rPr>
          <w:b/>
        </w:rPr>
        <w:t>Proposed response:</w:t>
      </w:r>
      <w:r>
        <w:t xml:space="preserve"> The proposed engine combines mastery, autonomy, collaboration and opt-in competition with auditable scoring rules.</w:t>
      </w:r>
    </w:p>
    <w:p>
      <w:pPr>
        <w:pStyle w:val="Heading2"/>
        <w:keepNext/>
      </w:pPr>
      <w:r>
        <w:t>Gap 6: difficult institutional integration</w:t>
      </w:r>
    </w:p>
    <w:p>
      <w:pPr>
        <w:pStyle w:val="BodyText"/>
      </w:pPr>
      <w:r>
        <w:rPr>
          <w:b/>
        </w:rPr>
        <w:t>Evidence:</w:t>
      </w:r>
      <w:r>
        <w:t xml:space="preserve"> ERP research identifies complexity, infrastructure and resistance as recurring barriers.</w:t>
      </w:r>
    </w:p>
    <w:p>
      <w:pPr>
        <w:pStyle w:val="BodyText"/>
      </w:pPr>
      <w:r>
        <w:rPr>
          <w:b/>
        </w:rPr>
        <w:t>Proposed response:</w:t>
      </w:r>
      <w:r>
        <w:t xml:space="preserve"> Ekeekrta uses a narrow adapter contract, reviewed identity import, safe retries and staged activation.</w:t>
      </w:r>
    </w:p>
    <w:p>
      <w:pPr>
        <w:pStyle w:val="Heading1"/>
        <w:keepNext/>
      </w:pPr>
      <w:r>
        <w:t>6. Proposed Research Questions and Evaluation</w:t>
      </w:r>
    </w:p>
    <w:p>
      <w:pPr>
        <w:pStyle w:val="ListBullet"/>
      </w:pPr>
      <w:r>
        <w:t>RQ1. Does combining session-duration attendance with assignment, quiz and programming evidence produce more actionable support information than attendance percentage alone?</w:t>
      </w:r>
    </w:p>
    <w:p>
      <w:pPr>
        <w:pStyle w:val="ListBullet"/>
      </w:pPr>
      <w:r>
        <w:t>RQ2. Do evidence explanations and faculty review improve trust and intervention quality compared with an unexplained risk label?</w:t>
      </w:r>
    </w:p>
    <w:p>
      <w:pPr>
        <w:pStyle w:val="ListBullet"/>
      </w:pPr>
      <w:r>
        <w:t>RQ3. Does a theory-grounded gamification design improve engagement without reducing learner autonomy or encouraging superficial point-seeking?</w:t>
      </w:r>
    </w:p>
    <w:p>
      <w:pPr>
        <w:pStyle w:val="ListBullet"/>
      </w:pPr>
      <w:r>
        <w:t>RQ4. Can a reviewed ERP connector reduce duplicate entry and reconciliation errors while preserving institutional and role boundaries?</w:t>
      </w:r>
    </w:p>
    <w:p>
      <w:pPr>
        <w:pStyle w:val="ListBullet"/>
      </w:pPr>
      <w:r>
        <w:t>RQ5. Can faculty-reviewed, source-grounded AI drafts reduce preparation time without increasing factual errors in published learning content?</w:t>
      </w:r>
    </w:p>
    <w:p>
      <w:pPr>
        <w:pStyle w:val="Heading2"/>
        <w:keepNext/>
      </w:pPr>
      <w:r>
        <w:t>6.1 Minimum evaluation plan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24649A"/>
          </w:tcPr>
          <w:p>
            <w:r>
              <w:rPr>
                <w:b/>
                <w:color w:val="FFFFFF"/>
              </w:rPr>
              <w:t>Evaluation area</w:t>
            </w:r>
          </w:p>
        </w:tc>
        <w:tc>
          <w:tcPr>
            <w:tcW w:type="dxa" w:w="5100"/>
            <w:shd w:fill="24649A"/>
          </w:tcPr>
          <w:p>
            <w:r>
              <w:rPr>
                <w:b/>
                <w:color w:val="FFFFFF"/>
              </w:rPr>
              <w:t>Evidence to collect</w:t>
            </w:r>
          </w:p>
        </w:tc>
      </w:tr>
      <w:tr>
        <w:tc>
          <w:tcPr>
            <w:tcW w:type="dxa" w:w="5100"/>
            <w:shd w:fill="E8F1F7"/>
            <w:tcMar>
              <w:top w:w="80" w:type="dxa"/>
              <w:start w:w="90" w:type="dxa"/>
              <w:bottom w:w="80" w:type="dxa"/>
              <w:end w:w="90" w:type="dxa"/>
            </w:tcMar>
          </w:tcPr>
          <w:p>
            <w:r>
              <w:t>Functional accuracy</w:t>
            </w:r>
          </w:p>
        </w:tc>
        <w:tc>
          <w:tcPr>
            <w:tcW w:type="dxa" w:w="5100"/>
            <w:shd w:fill="E8F1F7"/>
            <w:tcMar>
              <w:top w:w="80" w:type="dxa"/>
              <w:start w:w="90" w:type="dxa"/>
              <w:bottom w:w="80" w:type="dxa"/>
              <w:end w:w="90" w:type="dxa"/>
            </w:tcMar>
          </w:tcPr>
          <w:p>
            <w:r>
              <w:t>Trace attendance, course, assessment, ERP and AI records end to end; verify role and tenant isolation.</w:t>
            </w:r>
          </w:p>
        </w:tc>
      </w:tr>
      <w:tr>
        <w:tc>
          <w:tcPr>
            <w:tcW w:type="dxa" w:w="5100"/>
            <w:shd w:fill="FFFFFF"/>
            <w:tcMar>
              <w:top w:w="80" w:type="dxa"/>
              <w:start w:w="90" w:type="dxa"/>
              <w:bottom w:w="80" w:type="dxa"/>
              <w:end w:w="90" w:type="dxa"/>
            </w:tcMar>
          </w:tcPr>
          <w:p>
            <w:r>
              <w:t>Usability</w:t>
            </w:r>
          </w:p>
        </w:tc>
        <w:tc>
          <w:tcPr>
            <w:tcW w:type="dxa" w:w="5100"/>
            <w:shd w:fill="FFFFFF"/>
            <w:tcMar>
              <w:top w:w="80" w:type="dxa"/>
              <w:start w:w="90" w:type="dxa"/>
              <w:bottom w:w="80" w:type="dxa"/>
              <w:end w:w="90" w:type="dxa"/>
            </w:tcMar>
          </w:tcPr>
          <w:p>
            <w:r>
              <w:t>Faculty and student task completion, time on task, System Usability Scale and structured interviews.</w:t>
            </w:r>
          </w:p>
        </w:tc>
      </w:tr>
      <w:tr>
        <w:tc>
          <w:tcPr>
            <w:tcW w:type="dxa" w:w="5100"/>
            <w:shd w:fill="E8F1F7"/>
            <w:tcMar>
              <w:top w:w="80" w:type="dxa"/>
              <w:start w:w="90" w:type="dxa"/>
              <w:bottom w:w="80" w:type="dxa"/>
              <w:end w:w="90" w:type="dxa"/>
            </w:tcMar>
          </w:tcPr>
          <w:p>
            <w:r>
              <w:t>Learning-support usefulness</w:t>
            </w:r>
          </w:p>
        </w:tc>
        <w:tc>
          <w:tcPr>
            <w:tcW w:type="dxa" w:w="5100"/>
            <w:shd w:fill="E8F1F7"/>
            <w:tcMar>
              <w:top w:w="80" w:type="dxa"/>
              <w:start w:w="90" w:type="dxa"/>
              <w:bottom w:w="80" w:type="dxa"/>
              <w:end w:w="90" w:type="dxa"/>
            </w:tcMar>
          </w:tcPr>
          <w:p>
            <w:r>
              <w:t>Compare attendance-only flags with multi-evidence indicators; collect faculty judgments and intervention decisions.</w:t>
            </w:r>
          </w:p>
        </w:tc>
      </w:tr>
      <w:tr>
        <w:tc>
          <w:tcPr>
            <w:tcW w:type="dxa" w:w="5100"/>
            <w:shd w:fill="FFFFFF"/>
            <w:tcMar>
              <w:top w:w="80" w:type="dxa"/>
              <w:start w:w="90" w:type="dxa"/>
              <w:bottom w:w="80" w:type="dxa"/>
              <w:end w:w="90" w:type="dxa"/>
            </w:tcMar>
          </w:tcPr>
          <w:p>
            <w:r>
              <w:t>Gamification pilot</w:t>
            </w:r>
          </w:p>
        </w:tc>
        <w:tc>
          <w:tcPr>
            <w:tcW w:type="dxa" w:w="5100"/>
            <w:shd w:fill="FFFFFF"/>
            <w:tcMar>
              <w:top w:w="80" w:type="dxa"/>
              <w:start w:w="90" w:type="dxa"/>
              <w:bottom w:w="80" w:type="dxa"/>
              <w:end w:w="90" w:type="dxa"/>
            </w:tcMar>
          </w:tcPr>
          <w:p>
            <w:r>
              <w:t>Run an opt-in controlled pilot; report participation, completion, motivation/autonomy measures and unintended behavior.</w:t>
            </w:r>
          </w:p>
        </w:tc>
      </w:tr>
      <w:tr>
        <w:tc>
          <w:tcPr>
            <w:tcW w:type="dxa" w:w="5100"/>
            <w:shd w:fill="E8F1F7"/>
            <w:tcMar>
              <w:top w:w="80" w:type="dxa"/>
              <w:start w:w="90" w:type="dxa"/>
              <w:bottom w:w="80" w:type="dxa"/>
              <w:end w:w="90" w:type="dxa"/>
            </w:tcMar>
          </w:tcPr>
          <w:p>
            <w:r>
              <w:t>AI quality</w:t>
            </w:r>
          </w:p>
        </w:tc>
        <w:tc>
          <w:tcPr>
            <w:tcW w:type="dxa" w:w="5100"/>
            <w:shd w:fill="E8F1F7"/>
            <w:tcMar>
              <w:top w:w="80" w:type="dxa"/>
              <w:start w:w="90" w:type="dxa"/>
              <w:bottom w:w="80" w:type="dxa"/>
              <w:end w:w="90" w:type="dxa"/>
            </w:tcMar>
          </w:tcPr>
          <w:p>
            <w:r>
              <w:t>Measure groundedness, faculty edits, rejected drafts, time saved and citation correctness.</w:t>
            </w:r>
          </w:p>
        </w:tc>
      </w:tr>
      <w:tr>
        <w:tc>
          <w:tcPr>
            <w:tcW w:type="dxa" w:w="5100"/>
            <w:shd w:fill="FFFFFF"/>
            <w:tcMar>
              <w:top w:w="80" w:type="dxa"/>
              <w:start w:w="90" w:type="dxa"/>
              <w:bottom w:w="80" w:type="dxa"/>
              <w:end w:w="90" w:type="dxa"/>
            </w:tcMar>
          </w:tcPr>
          <w:p>
            <w:r>
              <w:t>Capacity</w:t>
            </w:r>
          </w:p>
        </w:tc>
        <w:tc>
          <w:tcPr>
            <w:tcW w:type="dxa" w:w="5100"/>
            <w:shd w:fill="FFFFFF"/>
            <w:tcMar>
              <w:top w:w="80" w:type="dxa"/>
              <w:start w:w="90" w:type="dxa"/>
              <w:bottom w:w="80" w:type="dxa"/>
              <w:end w:w="90" w:type="dxa"/>
            </w:tcMar>
          </w:tcPr>
          <w:p>
            <w:r>
              <w:t>Conduct staged 10, 25, 50, 100 and 150-participant tests after self-hosted media infrastructure exists; report CPU, memory, bandwidth, packet loss and join failures.</w:t>
            </w:r>
          </w:p>
        </w:tc>
      </w:tr>
    </w:tbl>
    <w:p>
      <w:pPr>
        <w:pStyle w:val="Heading1"/>
        <w:keepNext/>
      </w:pPr>
      <w:r>
        <w:t>7. Conclusion</w:t>
      </w:r>
    </w:p>
    <w:p>
      <w:pPr>
        <w:pStyle w:val="BodyText"/>
      </w:pPr>
      <w:r>
        <w:t>The literature supports Ekeekrta's direction when the project is framed as an integrated, auditable university learning environment rather than as a collection of novel isolated features. The strongest research-backed contribution is the connection of live-class evidence, course engagement, formative assessment, ERP records and explainable support workflows under server-enforced role boundaries. AI features should remain grounded and reviewed. Gamification should move from the current leaderboard interface to a measured, theory-informed and opt-in design. Future claims about improved learning, automated lecture notes, handwriting assessment or 150-participant capacity require controlled evaluation and real infrastructure tests.</w:t>
      </w:r>
    </w:p>
    <w:p>
      <w:pPr>
        <w:pStyle w:val="Heading1"/>
        <w:keepNext/>
      </w:pPr>
      <w:r>
        <w:t>References</w:t>
      </w:r>
    </w:p>
    <w:p>
      <w:pPr>
        <w:spacing w:after="100"/>
        <w:ind w:left="340" w:hanging="340"/>
      </w:pPr>
      <w:r>
        <w:t xml:space="preserve">Bond, M., Khosravi, H., De Laat, M., et al. (2024). A meta systematic review of artificial intelligence in higher education: A call for increased ethics, collaboration, and rigour. International Journal of Educational Technology in Higher Education, 21, 4. </w:t>
      </w:r>
      <w:hyperlink r:id="rId10">
        <w:r>
          <w:rPr>
            <w:color w:val="24649A"/>
            <w:u w:val="single"/>
          </w:rPr>
          <w:t>https://doi.org/10.1186/s41239-023-00436-z</w:t>
        </w:r>
      </w:hyperlink>
    </w:p>
    <w:p>
      <w:pPr>
        <w:spacing w:after="100"/>
        <w:ind w:left="340" w:hanging="340"/>
      </w:pPr>
      <w:r>
        <w:t xml:space="preserve">Crompton, H., &amp; Burke, D. (2023). Artificial intelligence in higher education: The state of the field. International Journal of Educational Technology in Higher Education, 20, 22. </w:t>
      </w:r>
      <w:hyperlink r:id="rId11">
        <w:r>
          <w:rPr>
            <w:color w:val="24649A"/>
            <w:u w:val="single"/>
          </w:rPr>
          <w:t>https://doi.org/10.1186/s41239-023-00392-8</w:t>
        </w:r>
      </w:hyperlink>
    </w:p>
    <w:p>
      <w:pPr>
        <w:spacing w:after="100"/>
        <w:ind w:left="340" w:hanging="340"/>
      </w:pPr>
      <w:r>
        <w:t xml:space="preserve">Deschenes, M. (2020). Recommender systems to support learners' agency in a learning context: A systematic review. International Journal of Educational Technology in Higher Education, 17, 50. </w:t>
      </w:r>
      <w:hyperlink r:id="rId12">
        <w:r>
          <w:rPr>
            <w:color w:val="24649A"/>
            <w:u w:val="single"/>
          </w:rPr>
          <w:t>https://doi.org/10.1186/s41239-020-00219-w</w:t>
        </w:r>
      </w:hyperlink>
    </w:p>
    <w:p>
      <w:pPr>
        <w:spacing w:after="100"/>
        <w:ind w:left="340" w:hanging="340"/>
      </w:pPr>
      <w:r>
        <w:t xml:space="preserve">Fabriz, S., Mendzheritskaya, J., &amp; Stehle, S. (2021). Impact of synchronous and asynchronous settings of online teaching and learning in higher education on students' learning experience during COVID-19. Frontiers in Psychology, 12, 733554. </w:t>
      </w:r>
      <w:hyperlink r:id="rId13">
        <w:r>
          <w:rPr>
            <w:color w:val="24649A"/>
            <w:u w:val="single"/>
          </w:rPr>
          <w:t>https://doi.org/10.3389/fpsyg.2021.733554</w:t>
        </w:r>
      </w:hyperlink>
    </w:p>
    <w:p>
      <w:pPr>
        <w:spacing w:after="100"/>
        <w:ind w:left="340" w:hanging="340"/>
      </w:pPr>
      <w:r>
        <w:t xml:space="preserve">Heikkinen, S., Saqr, M., Malmberg, J., &amp; Tedre, M. (2023). Supporting self-regulated learning with learning analytics interventions: A systematic literature review. Education and Information Technologies, 28, 3059-3088. </w:t>
      </w:r>
      <w:hyperlink r:id="rId14">
        <w:r>
          <w:rPr>
            <w:color w:val="24649A"/>
            <w:u w:val="single"/>
          </w:rPr>
          <w:t>https://doi.org/10.1007/s10639-022-11281-4</w:t>
        </w:r>
      </w:hyperlink>
    </w:p>
    <w:p>
      <w:pPr>
        <w:spacing w:after="100"/>
        <w:ind w:left="340" w:hanging="340"/>
      </w:pPr>
      <w:r>
        <w:t xml:space="preserve">Khaldi, A., Bouzidi, R., &amp; Nader, F. (2023). Gamification of e-learning in higher education: A systematic literature review. Smart Learning Environments, 10, 10. </w:t>
      </w:r>
      <w:hyperlink r:id="rId15">
        <w:r>
          <w:rPr>
            <w:color w:val="24649A"/>
            <w:u w:val="single"/>
          </w:rPr>
          <w:t>https://doi.org/10.1186/s40561-023-00227-z</w:t>
        </w:r>
      </w:hyperlink>
    </w:p>
    <w:p>
      <w:pPr>
        <w:spacing w:after="100"/>
        <w:ind w:left="340" w:hanging="340"/>
      </w:pPr>
      <w:r>
        <w:t xml:space="preserve">Lu, C., &amp; Cutumisu, M. (2022). Online engagement and performance on formative assessments mediate the relationship between attendance and course performance. International Journal of Educational Technology in Higher Education, 19, 2. </w:t>
      </w:r>
      <w:hyperlink r:id="rId16">
        <w:r>
          <w:rPr>
            <w:color w:val="24649A"/>
            <w:u w:val="single"/>
          </w:rPr>
          <w:t>https://doi.org/10.1186/s41239-021-00307-5</w:t>
        </w:r>
      </w:hyperlink>
    </w:p>
    <w:p>
      <w:pPr>
        <w:spacing w:after="100"/>
        <w:ind w:left="340" w:hanging="340"/>
      </w:pPr>
      <w:r>
        <w:t xml:space="preserve">Nayak, S., et al. (2024). Automatic assessment of text-based responses in post-secondary education: A systematic review. Computers and Education: Artificial Intelligence, 6, 100206. </w:t>
      </w:r>
      <w:hyperlink r:id="rId17">
        <w:r>
          <w:rPr>
            <w:color w:val="24649A"/>
            <w:u w:val="single"/>
          </w:rPr>
          <w:t>https://doi.org/10.1016/j.caeai.2024.100206</w:t>
        </w:r>
      </w:hyperlink>
    </w:p>
    <w:p>
      <w:pPr>
        <w:spacing w:after="100"/>
        <w:ind w:left="340" w:hanging="340"/>
      </w:pPr>
      <w:r>
        <w:t xml:space="preserve">Ramaswami, G., Susnjak, T., Mathrani, A., &amp; Umer, R. (2023). Use of predictive analytics within learning analytics dashboards: A review of case studies. Technology, Knowledge and Learning, 28, 959-980. </w:t>
      </w:r>
      <w:hyperlink r:id="rId18">
        <w:r>
          <w:rPr>
            <w:color w:val="24649A"/>
            <w:u w:val="single"/>
          </w:rPr>
          <w:t>https://doi.org/10.1007/s10758-022-09613-x</w:t>
        </w:r>
      </w:hyperlink>
    </w:p>
    <w:p>
      <w:pPr>
        <w:spacing w:after="100"/>
        <w:ind w:left="340" w:hanging="340"/>
      </w:pPr>
      <w:r>
        <w:t xml:space="preserve">Sailer, M., &amp; Homner, L. (2020). The gamification of learning: A meta-analysis. Educational Psychology Review, 32, 77-112. </w:t>
      </w:r>
      <w:hyperlink r:id="rId19">
        <w:r>
          <w:rPr>
            <w:color w:val="24649A"/>
            <w:u w:val="single"/>
          </w:rPr>
          <w:t>https://doi.org/10.1007/s10648-019-09498-w</w:t>
        </w:r>
      </w:hyperlink>
    </w:p>
    <w:p>
      <w:pPr>
        <w:spacing w:after="100"/>
        <w:ind w:left="340" w:hanging="340"/>
      </w:pPr>
      <w:r>
        <w:t xml:space="preserve">Sholeh, M. B., Samodra, R. F., &amp; Widodo, A. P. (2025). Benefits and challenges of ERP implementation in higher education institutions: A systematic literature review. Jurnal Sistem Informasi Bisnis, 15(1), 21-33. </w:t>
      </w:r>
      <w:hyperlink r:id="rId20">
        <w:r>
          <w:rPr>
            <w:color w:val="24649A"/>
            <w:u w:val="single"/>
          </w:rPr>
          <w:t>https://doi.org/10.14710/vol15iss1pp21-33</w:t>
        </w:r>
      </w:hyperlink>
    </w:p>
    <w:p>
      <w:pPr>
        <w:spacing w:after="100"/>
        <w:ind w:left="340" w:hanging="340"/>
      </w:pPr>
      <w:r>
        <w:t xml:space="preserve">Silva, L. C. e, Sobrinho, A., Cordeiro, T., et al. (2024). Assessing students' handwritten text productions: A two-decades literature review. Expert Systems with Applications, 250, 123780. </w:t>
      </w:r>
      <w:hyperlink r:id="rId21">
        <w:r>
          <w:rPr>
            <w:color w:val="24649A"/>
            <w:u w:val="single"/>
          </w:rPr>
          <w:t>https://doi.org/10.1016/j.eswa.2024.123780</w:t>
        </w:r>
      </w:hyperlink>
    </w:p>
    <w:p>
      <w:pPr>
        <w:spacing w:after="100"/>
        <w:ind w:left="340" w:hanging="340"/>
      </w:pPr>
      <w:r>
        <w:t xml:space="preserve">Yuan, Z., &amp; Zesch, T. (2023). Automatically generated summaries of video lectures may enhance students' learning experience. Proceedings of the 18th Workshop on Innovative Use of NLP for Building Educational Applications, 382-393. </w:t>
      </w:r>
      <w:hyperlink r:id="rId22">
        <w:r>
          <w:rPr>
            <w:color w:val="24649A"/>
            <w:u w:val="single"/>
          </w:rPr>
          <w:t>https://doi.org/10.18653/v1/2023.bea-1.31</w:t>
        </w:r>
      </w:hyperlink>
    </w:p>
    <w:p>
      <w:pPr>
        <w:spacing w:after="100"/>
        <w:ind w:left="340" w:hanging="340"/>
      </w:pPr>
      <w:r>
        <w:t xml:space="preserve">Zawacki-Richter, O., Marin, V. I., Bond, M., &amp; Gouverneur, F. (2019). Systematic review of research on artificial intelligence applications in higher education: Where are the educators? International Journal of Educational Technology in Higher Education, 16, 39. </w:t>
      </w:r>
      <w:hyperlink r:id="rId23">
        <w:r>
          <w:rPr>
            <w:color w:val="24649A"/>
            <w:u w:val="single"/>
          </w:rPr>
          <w:t>https://doi.org/10.1186/s41239-019-0171-0</w:t>
        </w:r>
      </w:hyperlink>
    </w:p>
    <w:sectPr w:rsidR="00FC693F" w:rsidRPr="0006063C" w:rsidSect="00034616">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Ekeekrta Literature Survey  |  </w:t>
    </w:r>
    <w:fldSimple w:instr="PAGE"/>
    <w:r>
      <w:rPr>
        <w:rFonts w:ascii="Aptos" w:hAnsi="Aptos"/>
        <w:sz w:val="16"/>
      </w:rPr>
      <w:t xml:space="preserve">Ekeekrta Literature Survey  |  </w:t>
    </w:r>
    <w:fldSimple w:instr="PAGE"/>
    <w:r>
      <w:rPr>
        <w:rFonts w:ascii="Aptos" w:hAnsi="Aptos"/>
        <w:sz w:val="16"/>
      </w:rPr>
      <w:t xml:space="preserve">Ekeekrta Literature Survey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5451C"/>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8F3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464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86/s41239-023-00436-z" TargetMode="External"/><Relationship Id="rId11" Type="http://schemas.openxmlformats.org/officeDocument/2006/relationships/hyperlink" Target="https://doi.org/10.1186/s41239-023-00392-8" TargetMode="External"/><Relationship Id="rId12" Type="http://schemas.openxmlformats.org/officeDocument/2006/relationships/hyperlink" Target="https://doi.org/10.1186/s41239-020-00219-w" TargetMode="External"/><Relationship Id="rId13" Type="http://schemas.openxmlformats.org/officeDocument/2006/relationships/hyperlink" Target="https://doi.org/10.3389/fpsyg.2021.733554" TargetMode="External"/><Relationship Id="rId14" Type="http://schemas.openxmlformats.org/officeDocument/2006/relationships/hyperlink" Target="https://doi.org/10.1007/s10639-022-11281-4" TargetMode="External"/><Relationship Id="rId15" Type="http://schemas.openxmlformats.org/officeDocument/2006/relationships/hyperlink" Target="https://doi.org/10.1186/s40561-023-00227-z" TargetMode="External"/><Relationship Id="rId16" Type="http://schemas.openxmlformats.org/officeDocument/2006/relationships/hyperlink" Target="https://doi.org/10.1186/s41239-021-00307-5" TargetMode="External"/><Relationship Id="rId17" Type="http://schemas.openxmlformats.org/officeDocument/2006/relationships/hyperlink" Target="https://doi.org/10.1016/j.caeai.2024.100206" TargetMode="External"/><Relationship Id="rId18" Type="http://schemas.openxmlformats.org/officeDocument/2006/relationships/hyperlink" Target="https://doi.org/10.1007/s10758-022-09613-x" TargetMode="External"/><Relationship Id="rId19" Type="http://schemas.openxmlformats.org/officeDocument/2006/relationships/hyperlink" Target="https://doi.org/10.1007/s10648-019-09498-w" TargetMode="External"/><Relationship Id="rId20" Type="http://schemas.openxmlformats.org/officeDocument/2006/relationships/hyperlink" Target="https://doi.org/10.14710/vol15iss1pp21-33" TargetMode="External"/><Relationship Id="rId21" Type="http://schemas.openxmlformats.org/officeDocument/2006/relationships/hyperlink" Target="https://doi.org/10.1016/j.eswa.2024.123780" TargetMode="External"/><Relationship Id="rId22" Type="http://schemas.openxmlformats.org/officeDocument/2006/relationships/hyperlink" Target="https://doi.org/10.18653/v1/2023.bea-1.31" TargetMode="External"/><Relationship Id="rId23" Type="http://schemas.openxmlformats.org/officeDocument/2006/relationships/hyperlink" Target="https://doi.org/10.1186/s41239-019-01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Ekeekrta Structured Literature Survey and Research Gap Analysis</dc:title>
  <dc:subject>Major Project Stage 1 Review 2</dc:subject>
  <dc:creator>Arla Hanmanth Rao</dc:creator>
  <cp:keywords>Ekeekrta, LMS, virtual classroom, learning analytics, AI, gamification, ERP</cp:keywords>
  <dc:description>generated by python-docx</dc:description>
  <cp:lastModifiedBy/>
  <cp:revision>1</cp:revision>
  <dcterms:created xsi:type="dcterms:W3CDTF">2013-12-23T23:15:00Z</dcterms:created>
  <dcterms:modified xsi:type="dcterms:W3CDTF">2013-12-23T23:15:00Z</dcterms:modified>
  <cp:category/>
</cp:coreProperties>
</file>