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Arial" w:hAnsi="Arial"/>
          <w:b/>
          <w:color w:val="1A4D3A"/>
          <w:sz w:val="40"/>
        </w:rPr>
        <w:t>BITÁCORA DE DESARROLLO E HITOS EVOLUTIVOS</w:t>
      </w:r>
    </w:p>
    <w:p>
      <w:pPr>
        <w:jc w:val="center"/>
      </w:pPr>
      <w:r>
        <w:rPr>
          <w:rFonts w:ascii="Arial" w:hAnsi="Arial"/>
          <w:i/>
          <w:color w:val="646464"/>
          <w:sz w:val="26"/>
        </w:rPr>
        <w:t>Línea de Tiempo Detallada por Semanas Calendario — Novapalma</w:t>
      </w:r>
    </w:p>
    <w:p>
      <w:pPr>
        <w:jc w:val="center"/>
      </w:pPr>
      <w:r>
        <w:rPr>
          <w:rFonts w:ascii="Arial" w:hAnsi="Arial"/>
          <w:color w:val="787878"/>
          <w:sz w:val="19"/>
        </w:rPr>
        <w:t>Autor: Antigravity AI Codirector &amp; Shecid</w:t>
      </w:r>
      <w:r>
        <w:rPr>
          <w:rFonts w:ascii="Arial" w:hAnsi="Arial"/>
          <w:color w:val="787878"/>
          <w:sz w:val="19"/>
        </w:rPr>
        <w:br w:type="textWrapping"/>
      </w:r>
      <w:r>
        <w:rPr>
          <w:rFonts w:ascii="Arial" w:hAnsi="Arial"/>
          <w:color w:val="787878"/>
          <w:sz w:val="19"/>
        </w:rPr>
        <w:t>Fecha de Reporte: 30 de Mayo de 2026</w:t>
      </w:r>
      <w:r>
        <w:rPr>
          <w:rFonts w:ascii="Arial" w:hAnsi="Arial"/>
          <w:color w:val="787878"/>
          <w:sz w:val="19"/>
        </w:rPr>
        <w:br w:type="textWrapping"/>
      </w:r>
      <w:r>
        <w:rPr>
          <w:rFonts w:ascii="Arial" w:hAnsi="Arial"/>
          <w:color w:val="787878"/>
          <w:sz w:val="19"/>
        </w:rPr>
        <w:t>Historial de Commits Sincronizado</w:t>
      </w:r>
    </w:p>
    <w:p>
      <w:bookmarkStart w:id="0" w:name="_GoBack"/>
      <w:bookmarkEnd w:id="0"/>
      <w:r>
        <w:rPr>
          <w:rFonts w:ascii="Arial" w:hAnsi="Arial"/>
          <w:sz w:val="21"/>
        </w:rPr>
        <w:t>Esta bitácora documenta de manera detallada e institucional la evolución histórica del software de Novapalma, organizada estrictamente por semanas calendario del mes de mayo de 2026. A partir del historial de commits del repositorio Git, se detallan los entregables con sus fechas exactas, bugs e incidentes técnicos superados, y el sprint final de hoy.</w:t>
      </w:r>
    </w:p>
    <w:p>
      <w:r>
        <w:rPr>
          <w:rFonts w:ascii="Arial" w:hAnsi="Arial"/>
          <w:b/>
          <w:color w:val="1A4D3A"/>
          <w:sz w:val="30"/>
        </w:rPr>
        <w:t>1. Línea de Tiempo y Hitos por Semanas Calendario</w:t>
      </w:r>
    </w:p>
    <w:p>
      <w:r>
        <w:rPr>
          <w:sz w:val="21"/>
        </w:rPr>
        <w:t>El desarrollo técnico de la plataforma abarcó tres grandes semanas cronológicas desde las fundaciones del core hasta la entrega en producción: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EFEFEF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592"/>
        <w:gridCol w:w="4464"/>
      </w:tblGrid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Semana / Fechas</w:t>
            </w:r>
          </w:p>
        </w:tc>
        <w:tc>
          <w:tcPr>
            <w:tcW w:w="2592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Enfoque Estratégico</w:t>
            </w:r>
          </w:p>
        </w:tc>
        <w:tc>
          <w:tcPr>
            <w:tcW w:w="4464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Hitos, Commits y Entregables Clave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Semana 1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04 al 17 de Mayo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de 2026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A4D3A"/>
                <w:sz w:val="19"/>
              </w:rPr>
              <w:t>Fundación &amp; Arquitectura Core (ACID, Auditoría)</w:t>
            </w:r>
          </w:p>
        </w:tc>
        <w:tc>
          <w:tcPr>
            <w:tcW w:w="4464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• Core transaccional de viajes y fletes (forensic auditing con audit_logs) [14-May, 70d9e96, ca493c6]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Seguridad perimetral robusta (HttpOnly cookies SameSite, token oculto contra XSS/CSRF) [14-May, d0380ba]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Módulo inicial de gestión de conductores, vehículos y tarifas rígidas [16-May, 0e94f81, 69d3dab]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Semana 2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18 al 24 de Mayo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de 2026</w:t>
            </w:r>
          </w:p>
        </w:tc>
        <w:tc>
          <w:tcPr>
            <w:tcW w:w="2592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A4D3A"/>
                <w:sz w:val="19"/>
              </w:rPr>
              <w:t>Expansión Operativa, QA Suite &amp; Estilos UI</w:t>
            </w:r>
          </w:p>
        </w:tc>
        <w:tc>
          <w:tcPr>
            <w:tcW w:w="4464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• Dockerización multiplataforma y Node LTS v22 [19-May, c58ff55]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CRUD de Usuarios y vistas de Finanzas [22-May, e2135bf]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Suite automatizada QA con Selenium E2E tests [22-May, d1830cb, 3077568]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Tema Modo Oscuro unificado, alto contraste y calendarios nativos [24-May, 68c9143, 3ff7e65]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Bugfix: Desfase de fechas en tablas con zona horaria UTC [24-May, b15247c]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Semana 3 (Actual)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25 al 30 de Mayo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de 2026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A4D3A"/>
                <w:sz w:val="19"/>
              </w:rPr>
              <w:t>Analítica Avanzada, PDFs &amp; Maduración UI/DB</w:t>
            </w:r>
          </w:p>
        </w:tc>
        <w:tc>
          <w:tcPr>
            <w:tcW w:w="4464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• Detección IP real detrás de balanceadores en Login [26-May, 317e8de, f632703]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Dashboard premium (Power BI style) con gráficos interactivos SVG [27-May, b021183]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Exportador contable Excel XLSX nativo y Live Margin Previews [27-May, c95110d, 795f24f]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Remoción de tarifas por volatilidad a costos directos [27-May, 6df9828]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CSS print ecológico landscape PDF [27-May, 8d7b733]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Hoy (30-May): Kilogramos en UI con auto-conversión a Tons, live dot-formatting colombiano (450.000), escudo de base de datos (errorHandler.js) y grillas limpias de acción para operadores.</w:t>
            </w:r>
          </w:p>
        </w:tc>
      </w:tr>
    </w:tbl>
    <w:p/>
    <w:p>
      <w:r>
        <w:rPr>
          <w:rFonts w:ascii="Arial" w:hAnsi="Arial"/>
          <w:b/>
          <w:color w:val="1A4D3A"/>
          <w:sz w:val="30"/>
        </w:rPr>
        <w:t>2. Bitácora de Errores e Incidentes Técnicos Resueltos</w:t>
      </w:r>
    </w:p>
    <w:p>
      <w:r>
        <w:rPr>
          <w:sz w:val="21"/>
        </w:rPr>
        <w:t>A continuación se detallan los desafíos técnicos identificados en las bitácoras y resueltos exitosamente con sus fechas específicas: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EFEFEF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592"/>
        <w:gridCol w:w="2736"/>
        <w:gridCol w:w="2592"/>
      </w:tblGrid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Fecha</w:t>
            </w:r>
          </w:p>
        </w:tc>
        <w:tc>
          <w:tcPr>
            <w:tcW w:w="2592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Incidente / Síntoma</w:t>
            </w:r>
          </w:p>
        </w:tc>
        <w:tc>
          <w:tcPr>
            <w:tcW w:w="2736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Causa Raíz</w:t>
            </w:r>
          </w:p>
        </w:tc>
        <w:tc>
          <w:tcPr>
            <w:tcW w:w="2592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Solución Técnica Aplicada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2026-05-22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A30000"/>
                <w:sz w:val="19"/>
              </w:rPr>
              <w:t>Bloqueo 429 en Entorno Dev (Dev Blockage)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Middleware express-rate-limit bloqueaba peticiones de desarrollo debido a recargas rápidas (HMR) continuas de Vite.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Se inyectó una detección de entorno en app.js incrementando el límite a 2.000 reqs en modo dev y se configuró trust proxy en true.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2026-05-24</w:t>
            </w:r>
          </w:p>
        </w:tc>
        <w:tc>
          <w:tcPr>
            <w:tcW w:w="2592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A30000"/>
                <w:sz w:val="19"/>
              </w:rPr>
              <w:t>Desfase de 1 día en Fechas de Viaje</w:t>
            </w:r>
          </w:p>
        </w:tc>
        <w:tc>
          <w:tcPr>
            <w:tcW w:w="2736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JavaScript leía las fechas en formato de huso UTC y al convertirlas al local (-5h) restaba horas y cambiaba el día visualmente.</w:t>
            </w:r>
          </w:p>
        </w:tc>
        <w:tc>
          <w:tcPr>
            <w:tcW w:w="2592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Se forzó el registro sin horas a nivel de base de datos y se formateó la vista en el cliente usando la opción explícita { timeZone: 'UTC' }.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2026-05-26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A30000"/>
                <w:sz w:val="19"/>
              </w:rPr>
              <w:t>Fugas de IPs de Balanceador en Auditoría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El backend capturaba la IP interna del proxy de balanceo del hosting en lugar de la dirección IP real del despachador autenticado.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Se modificó la lógica en auth.controller.js para extraer preferentemente la cabecera x-forwarded-for y limpiar el primer segmento.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2026-05-27</w:t>
            </w:r>
          </w:p>
        </w:tc>
        <w:tc>
          <w:tcPr>
            <w:tcW w:w="2592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A30000"/>
                <w:sz w:val="19"/>
              </w:rPr>
              <w:t>Hojas de Reportes PDF Truncadas</w:t>
            </w:r>
          </w:p>
        </w:tc>
        <w:tc>
          <w:tcPr>
            <w:tcW w:w="2736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El navegador Chromium recortaba verticalmente las grillas contables de finanzas al procesar impresiones ejecutivas.</w:t>
            </w:r>
          </w:p>
        </w:tc>
        <w:tc>
          <w:tcPr>
            <w:tcW w:w="2592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Se inyectaron directivas CSS page-break-inside: avoid y break-inside: avoid en filas y contenedores, forzando escala horizontal en CSS.</w:t>
            </w:r>
          </w:p>
        </w:tc>
      </w:tr>
    </w:tbl>
    <w:p/>
    <w:p>
      <w:r>
        <w:rPr>
          <w:rFonts w:ascii="Arial" w:hAnsi="Arial"/>
          <w:b/>
          <w:color w:val="1A4D3A"/>
          <w:sz w:val="30"/>
        </w:rPr>
        <w:t>3. El Sprint de Maduración: Logros de Hoy (30 de Mayo de 2026)</w:t>
      </w:r>
    </w:p>
    <w:p>
      <w:r>
        <w:rPr>
          <w:sz w:val="21"/>
        </w:rPr>
        <w:t>Hoy se implementaron optimizaciones estructurales críticas en la usabilidad del cliente y la resiliencia del servidor:</w:t>
      </w:r>
    </w:p>
    <w:p>
      <w:pPr>
        <w:pStyle w:val="23"/>
      </w:pPr>
      <w:r>
        <w:rPr>
          <w:b/>
        </w:rPr>
        <w:t xml:space="preserve">Kilogramos &amp; Precio por Kilo de Fruta: </w:t>
      </w:r>
      <w:r>
        <w:t>El formulario ahora acepta el peso directo en kilogramos enteros de báscula (ej: 8540) y la tarifa en pesos por kilo (ej: 130). Muestra una tarjeta interactiva detallando la equivalencia corporativa a Toneladas y a tarifas por Tonelada, dividiendo por 1,000 automáticamente para guardar datos limpios en la base de datos.</w:t>
      </w:r>
    </w:p>
    <w:p>
      <w:pPr>
        <w:pStyle w:val="23"/>
      </w:pPr>
      <w:r>
        <w:rPr>
          <w:b/>
        </w:rPr>
        <w:t xml:space="preserve">Formato de Moneda Colombiano: </w:t>
      </w:r>
      <w:r>
        <w:t>Se implementó un formateador que separa miles con puntos (.) reactivo a la escritura. Al digitar importes (ej: 450000), el campo muestra interactivamente '450.000', previniendo errores de lectura operativa.</w:t>
      </w:r>
    </w:p>
    <w:p>
      <w:pPr>
        <w:pStyle w:val="23"/>
      </w:pPr>
      <w:r>
        <w:rPr>
          <w:b/>
        </w:rPr>
        <w:t xml:space="preserve">Escudo de Excepciones del Servidor (Shield de base de datos): </w:t>
      </w:r>
      <w:r>
        <w:t>Se creó la utilidad errorHandler.js en el backend para interceptar excepciones de Prisma y base de datos (como ticket repetido, cédulas duplicadas o fallas de conexión), transformándolas en claros mensajes informativos en español con su respectivo código de estado HTTP semántico, previniendo fugas de trazas técnicas en inglés.</w:t>
      </w:r>
    </w:p>
    <w:p>
      <w:pPr>
        <w:pStyle w:val="23"/>
      </w:pPr>
      <w:r>
        <w:rPr>
          <w:b/>
        </w:rPr>
        <w:t xml:space="preserve">Austeridad y Seguridad en UI: </w:t>
      </w:r>
      <w:r>
        <w:t>Se ocultó físicamente la columna 'Acciones' en las grillas de camiones y conductores para los Operadores, evitando tablas desequilibradas visualmente y elevando el orden estético del sistema.</w:t>
      </w:r>
    </w:p>
    <w:p/>
    <w:p>
      <w:r>
        <w:rPr>
          <w:rFonts w:ascii="Arial" w:hAnsi="Arial"/>
          <w:b/>
          <w:color w:val="1A4D3A"/>
          <w:sz w:val="30"/>
        </w:rPr>
        <w:t>4. Ficha Técnica de la Plataforma</w:t>
      </w:r>
    </w:p>
    <w:p>
      <w:pPr>
        <w:pStyle w:val="23"/>
      </w:pPr>
      <w:r>
        <w:rPr>
          <w:b/>
        </w:rPr>
        <w:t xml:space="preserve">Cliente / Frontend: </w:t>
      </w:r>
      <w:r>
        <w:t>React (Vite), Bootstrap 5 (Estilos Responsivos y UI Premium), Lucide React (Iconografía), XLSX (Excel Contable nativo). Detección dinámica y renderizado de fecha según huso horario UTC del navegador.</w:t>
      </w:r>
    </w:p>
    <w:p>
      <w:pPr>
        <w:pStyle w:val="23"/>
      </w:pPr>
      <w:r>
        <w:rPr>
          <w:b/>
        </w:rPr>
        <w:t xml:space="preserve">Servidor / Backend: </w:t>
      </w:r>
      <w:r>
        <w:t>Node.js v25 con Express. Validación de esquemas perimetrales estrictos mediante Zod para blindaje de payloads, cookies HttpOnly de sesión y protección perimetral con Helmet.</w:t>
      </w:r>
    </w:p>
    <w:p>
      <w:pPr>
        <w:pStyle w:val="23"/>
      </w:pPr>
      <w:r>
        <w:rPr>
          <w:b/>
        </w:rPr>
        <w:t xml:space="preserve">Base de Datos &amp; ORM: </w:t>
      </w:r>
      <w:r>
        <w:t>PostgreSQL y Prisma v7.8.0. Transacciones concurrentes ACID, auditoría inmutable de cambios (snapshots before/after), Soft Delete físico inalterable e índices aceleradores para optimización contable.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inecraf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inecraft">
    <w:panose1 w:val="00000500000000000000"/>
    <w:charset w:val="00"/>
    <w:family w:val="auto"/>
    <w:pitch w:val="default"/>
    <w:sig w:usb0="00000003" w:usb1="00000000" w:usb2="00000000" w:usb3="00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6C58AF"/>
    <w:rsid w:val="7CD7F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asher</cp:lastModifiedBy>
  <dcterms:modified xsi:type="dcterms:W3CDTF">2026-05-30T09:38:06Z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