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E6D5" w14:textId="00566A51" w:rsidR="00325FBB" w:rsidRPr="00325FBB" w:rsidRDefault="00325FBB" w:rsidP="00325FBB">
      <w:pPr>
        <w:rPr>
          <w:rFonts w:ascii="Times New Roman" w:hAnsi="Times New Roman" w:cs="Times New Roman"/>
          <w:b/>
          <w:bCs/>
        </w:rPr>
      </w:pPr>
      <w:r w:rsidRPr="00325FBB">
        <w:rPr>
          <w:rFonts w:ascii="Times New Roman" w:hAnsi="Times New Roman" w:cs="Times New Roman"/>
          <w:b/>
          <w:bCs/>
        </w:rPr>
        <w:t>Diseño propuesto del sistema para disponibilizar los resultados del modelo</w:t>
      </w:r>
    </w:p>
    <w:p w14:paraId="673429A1" w14:textId="77777777" w:rsidR="00325FBB" w:rsidRPr="00325FBB" w:rsidRDefault="00325FBB" w:rsidP="00325FBB">
      <w:pPr>
        <w:jc w:val="both"/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Con el objetivo de que los resultados del modelo ILP puedan ser consumidos de manera consistente por servicios externos (web, móvil o servicios internos del banco), se propone una arquitectura basada en servicios desacoplados y versionados, que permita ejecutar el modelo de forma periódica y exponer la asignación final mediante APIs estandarizadas.</w:t>
      </w:r>
    </w:p>
    <w:p w14:paraId="572E04CA" w14:textId="77777777" w:rsidR="00325FBB" w:rsidRPr="00325FBB" w:rsidRDefault="00325FBB" w:rsidP="00325FBB">
      <w:pPr>
        <w:rPr>
          <w:rFonts w:ascii="Times New Roman" w:hAnsi="Times New Roman" w:cs="Times New Roman"/>
          <w:b/>
          <w:bCs/>
        </w:rPr>
      </w:pPr>
      <w:r w:rsidRPr="00325FBB">
        <w:rPr>
          <w:rFonts w:ascii="Times New Roman" w:hAnsi="Times New Roman" w:cs="Times New Roman"/>
          <w:b/>
          <w:bCs/>
        </w:rPr>
        <w:t>Flujo general del sistema</w:t>
      </w:r>
    </w:p>
    <w:p w14:paraId="1B7AAA87" w14:textId="77777777" w:rsidR="00325FBB" w:rsidRPr="00325FBB" w:rsidRDefault="00325FBB" w:rsidP="00C541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El modelo se ejecuta (batch programado) y genera la tabla final de asignaciones resultado_prueba.csv o equivalente en tabla persistente.</w:t>
      </w:r>
    </w:p>
    <w:p w14:paraId="4BECBB28" w14:textId="77777777" w:rsidR="00325FBB" w:rsidRPr="00325FBB" w:rsidRDefault="00325FBB" w:rsidP="00C541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La salida del modelo se guarda en un repositorio transaccional o un Data Lake empresarial.</w:t>
      </w:r>
    </w:p>
    <w:p w14:paraId="53D4DDA0" w14:textId="77777777" w:rsidR="00325FBB" w:rsidRPr="00325FBB" w:rsidRDefault="00325FBB" w:rsidP="00C541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Un servicio API REST expone los resultados para consumo externo.</w:t>
      </w:r>
    </w:p>
    <w:p w14:paraId="284712C7" w14:textId="77777777" w:rsidR="00325FBB" w:rsidRDefault="00325FBB" w:rsidP="00325FBB">
      <w:pPr>
        <w:rPr>
          <w:rFonts w:ascii="Times New Roman" w:hAnsi="Times New Roman" w:cs="Times New Roman"/>
          <w:b/>
          <w:bCs/>
        </w:rPr>
      </w:pPr>
      <w:r w:rsidRPr="00325FBB">
        <w:rPr>
          <w:rFonts w:ascii="Times New Roman" w:hAnsi="Times New Roman" w:cs="Times New Roman"/>
          <w:b/>
          <w:bCs/>
        </w:rPr>
        <w:t>Componentes</w:t>
      </w:r>
    </w:p>
    <w:p w14:paraId="6D7EB188" w14:textId="530A6956" w:rsidR="00CB1A38" w:rsidRDefault="00CB1A38" w:rsidP="00CB1A38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Motor de PosgreSQL</w:t>
      </w:r>
    </w:p>
    <w:p w14:paraId="1012921A" w14:textId="26CFB671" w:rsidR="00CB1A38" w:rsidRDefault="00CB1A38" w:rsidP="00CB1A38">
      <w:pPr>
        <w:ind w:left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Encargado del almacenamiento de las tablas fuentes, el acceso a esta tabla será únicamente por el administrador de los datos que identifica que se debe renovar el modelo.</w:t>
      </w:r>
    </w:p>
    <w:p w14:paraId="65BF6370" w14:textId="70CD6BAB" w:rsidR="00CB1A38" w:rsidRDefault="00CB1A38" w:rsidP="00CB1A38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AWS Crawler</w:t>
      </w:r>
    </w:p>
    <w:p w14:paraId="3D977976" w14:textId="6A21CDD6" w:rsidR="00CB1A38" w:rsidRPr="00CB1A38" w:rsidRDefault="00CB1A38" w:rsidP="00CB1A38">
      <w:pPr>
        <w:ind w:left="708"/>
        <w:jc w:val="both"/>
        <w:rPr>
          <w:rFonts w:ascii="Times New Roman" w:hAnsi="Times New Roman" w:cs="Times New Roman"/>
        </w:rPr>
      </w:pPr>
      <w:r w:rsidRPr="00CB1A38">
        <w:rPr>
          <w:rFonts w:ascii="Times New Roman" w:hAnsi="Times New Roman" w:cs="Times New Roman"/>
        </w:rPr>
        <w:t>Servicio encargado del monitoreo de eventos en tablas o archivos de S3, en este flujo se identificaría la tabla fuente y ante un cambio de la partición dispara el job de GLUE para ejecutar el modelo.</w:t>
      </w:r>
    </w:p>
    <w:p w14:paraId="33BA92CE" w14:textId="5E5BF7C7" w:rsidR="00C5413B" w:rsidRPr="00C5413B" w:rsidRDefault="00325FBB" w:rsidP="00325F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  <w:b/>
          <w:bCs/>
        </w:rPr>
        <w:t xml:space="preserve">Motor de Procesamiento / </w:t>
      </w:r>
      <w:r w:rsidR="00CB1A38">
        <w:rPr>
          <w:rFonts w:ascii="Times New Roman" w:hAnsi="Times New Roman" w:cs="Times New Roman"/>
          <w:b/>
          <w:bCs/>
        </w:rPr>
        <w:t>AWS  Glue con Spark</w:t>
      </w:r>
    </w:p>
    <w:p w14:paraId="49A812FE" w14:textId="2A315D61" w:rsidR="00325FBB" w:rsidRPr="00325FBB" w:rsidRDefault="00325FBB" w:rsidP="00C5413B">
      <w:pPr>
        <w:ind w:left="720"/>
        <w:jc w:val="both"/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 xml:space="preserve">Servicio encargado de ejecutar el script Python con PuLP </w:t>
      </w:r>
      <w:r w:rsidR="00CB1A38">
        <w:rPr>
          <w:rFonts w:ascii="Times New Roman" w:hAnsi="Times New Roman" w:cs="Times New Roman"/>
        </w:rPr>
        <w:t xml:space="preserve"> permite el procesamiento en paralelo y la rápida convergencia de ejecución en batch.</w:t>
      </w:r>
    </w:p>
    <w:p w14:paraId="4FED64AD" w14:textId="4A7B1679" w:rsidR="00325FBB" w:rsidRPr="00325FBB" w:rsidRDefault="00325FBB" w:rsidP="00C54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  <w:b/>
          <w:bCs/>
        </w:rPr>
        <w:t>Data Store de Asignaciones</w:t>
      </w:r>
      <w:r w:rsidRPr="00325FBB">
        <w:rPr>
          <w:rFonts w:ascii="Times New Roman" w:hAnsi="Times New Roman" w:cs="Times New Roman"/>
        </w:rPr>
        <w:br/>
        <w:t>Tabla estructurada donde se persiste la última versión válida del modelo.</w:t>
      </w:r>
      <w:r w:rsidRPr="00325FBB">
        <w:rPr>
          <w:rFonts w:ascii="Times New Roman" w:hAnsi="Times New Roman" w:cs="Times New Roman"/>
        </w:rPr>
        <w:br/>
        <w:t>Llave principal: documento_cliente → documento_ejecutivo → documento_gerente.</w:t>
      </w:r>
    </w:p>
    <w:p w14:paraId="613C28D9" w14:textId="77777777" w:rsidR="00325FBB" w:rsidRPr="00325FBB" w:rsidRDefault="00325FBB" w:rsidP="00325FBB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325FBB">
        <w:rPr>
          <w:rFonts w:ascii="Times New Roman" w:hAnsi="Times New Roman" w:cs="Times New Roman"/>
          <w:b/>
          <w:bCs/>
          <w:lang w:val="en-US"/>
        </w:rPr>
        <w:t>API Gateway / Servicio REST</w:t>
      </w:r>
      <w:r w:rsidRPr="00325FBB">
        <w:rPr>
          <w:rFonts w:ascii="Times New Roman" w:hAnsi="Times New Roman" w:cs="Times New Roman"/>
          <w:lang w:val="en-US"/>
        </w:rPr>
        <w:br/>
        <w:t>Microservicio que expone endpoints REST:</w:t>
      </w:r>
    </w:p>
    <w:p w14:paraId="5BF7EB2A" w14:textId="77777777" w:rsidR="00325FBB" w:rsidRPr="00325FBB" w:rsidRDefault="00325FBB" w:rsidP="00325FB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GET /gerentes/{gerente_id}/clientes → lista de clientes asignados a ese gerente</w:t>
      </w:r>
    </w:p>
    <w:p w14:paraId="51059E65" w14:textId="77777777" w:rsidR="00325FBB" w:rsidRPr="00325FBB" w:rsidRDefault="00325FBB" w:rsidP="00325FB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GET /ejecutivos/{ejecutivo_id}/clientes</w:t>
      </w:r>
    </w:p>
    <w:p w14:paraId="5F9A775C" w14:textId="77777777" w:rsidR="00325FBB" w:rsidRPr="00325FBB" w:rsidRDefault="00325FBB" w:rsidP="00325FB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GET /clientes/{documento_cliente} → devuelve ruta jerárquica completa (cliente → ejecutivo → gerente)</w:t>
      </w:r>
    </w:p>
    <w:p w14:paraId="43E1E920" w14:textId="77777777" w:rsidR="00325FBB" w:rsidRPr="00325FBB" w:rsidRDefault="00325FBB" w:rsidP="00325FB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GET /salud_modelo → versión, timestamp último run, score global y razón x/y</w:t>
      </w:r>
    </w:p>
    <w:p w14:paraId="4CB94F42" w14:textId="77777777" w:rsidR="00325FBB" w:rsidRPr="00325FBB" w:rsidRDefault="00325FBB" w:rsidP="00325FBB">
      <w:p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Todos estos endpoints son de solo lectura.</w:t>
      </w:r>
    </w:p>
    <w:p w14:paraId="7C22809F" w14:textId="77777777" w:rsidR="00325FBB" w:rsidRPr="00325FBB" w:rsidRDefault="00325FBB" w:rsidP="00325FBB">
      <w:pPr>
        <w:rPr>
          <w:rFonts w:ascii="Times New Roman" w:hAnsi="Times New Roman" w:cs="Times New Roman"/>
          <w:b/>
          <w:bCs/>
        </w:rPr>
      </w:pPr>
      <w:r w:rsidRPr="00325FBB">
        <w:rPr>
          <w:rFonts w:ascii="Times New Roman" w:hAnsi="Times New Roman" w:cs="Times New Roman"/>
          <w:b/>
          <w:bCs/>
        </w:rPr>
        <w:t>Seguridad y Gobierno</w:t>
      </w:r>
    </w:p>
    <w:p w14:paraId="52AD584F" w14:textId="77777777" w:rsidR="00325FBB" w:rsidRPr="00325FBB" w:rsidRDefault="00325FBB" w:rsidP="00325F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El acceso se hace mediante OAuth2 / JWT para que equipos comerciales puedan consultar solo su zona / perfil.</w:t>
      </w:r>
    </w:p>
    <w:p w14:paraId="5F21B4FA" w14:textId="77777777" w:rsidR="00325FBB" w:rsidRPr="00325FBB" w:rsidRDefault="00325FBB" w:rsidP="00325F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lastRenderedPageBreak/>
        <w:t>Versionamiento por timestamp de corrida del modelo para trazabilidad de auditoría interna.</w:t>
      </w:r>
    </w:p>
    <w:p w14:paraId="2B28B257" w14:textId="77777777" w:rsidR="00325FBB" w:rsidRPr="00325FBB" w:rsidRDefault="00325FBB" w:rsidP="00325F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Se recomienda persistir además el valor objetivo alcanzado y métricas de asignación para monitoreo de drift y deterioro.</w:t>
      </w:r>
    </w:p>
    <w:p w14:paraId="534E6D13" w14:textId="77777777" w:rsidR="00325FBB" w:rsidRPr="00325FBB" w:rsidRDefault="00325FBB" w:rsidP="00325FBB">
      <w:pPr>
        <w:rPr>
          <w:rFonts w:ascii="Times New Roman" w:hAnsi="Times New Roman" w:cs="Times New Roman"/>
          <w:b/>
          <w:bCs/>
        </w:rPr>
      </w:pPr>
      <w:r w:rsidRPr="00325FBB">
        <w:rPr>
          <w:rFonts w:ascii="Times New Roman" w:hAnsi="Times New Roman" w:cs="Times New Roman"/>
          <w:b/>
          <w:bCs/>
        </w:rPr>
        <w:t>Beneficios</w:t>
      </w:r>
    </w:p>
    <w:p w14:paraId="6D1A95F0" w14:textId="77777777" w:rsidR="00C5413B" w:rsidRDefault="00325FBB" w:rsidP="00325F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Desacopla completamente el desarrollo analítico del consumo operacional.</w:t>
      </w:r>
    </w:p>
    <w:p w14:paraId="682A149D" w14:textId="01EFF1C4" w:rsidR="00325FBB" w:rsidRPr="00325FBB" w:rsidRDefault="00325FBB" w:rsidP="00325F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Permite que áreas digitales, CRM, front comerciales y tableros usen un mismo punto de verdad.</w:t>
      </w:r>
    </w:p>
    <w:p w14:paraId="3165B73C" w14:textId="77777777" w:rsidR="00325FBB" w:rsidRPr="00325FBB" w:rsidRDefault="00325FBB" w:rsidP="00325F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5FBB">
        <w:rPr>
          <w:rFonts w:ascii="Times New Roman" w:hAnsi="Times New Roman" w:cs="Times New Roman"/>
        </w:rPr>
        <w:t>Permite re-ejecutar el modelo sin alterar integraciones downstream.</w:t>
      </w:r>
    </w:p>
    <w:p w14:paraId="15991D47" w14:textId="77777777" w:rsidR="00077DC4" w:rsidRPr="00325FBB" w:rsidRDefault="00077DC4" w:rsidP="00325FBB">
      <w:pPr>
        <w:rPr>
          <w:rFonts w:ascii="Times New Roman" w:hAnsi="Times New Roman" w:cs="Times New Roman"/>
        </w:rPr>
      </w:pPr>
    </w:p>
    <w:sectPr w:rsidR="00077DC4" w:rsidRPr="00325F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1B22"/>
    <w:multiLevelType w:val="multilevel"/>
    <w:tmpl w:val="421E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51035"/>
    <w:multiLevelType w:val="multilevel"/>
    <w:tmpl w:val="EBF6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07A34"/>
    <w:multiLevelType w:val="multilevel"/>
    <w:tmpl w:val="E00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04B2E"/>
    <w:multiLevelType w:val="hybridMultilevel"/>
    <w:tmpl w:val="DBBA03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E0A070C"/>
    <w:multiLevelType w:val="multilevel"/>
    <w:tmpl w:val="F0DC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E4A22"/>
    <w:multiLevelType w:val="hybridMultilevel"/>
    <w:tmpl w:val="A3708B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953346">
    <w:abstractNumId w:val="4"/>
  </w:num>
  <w:num w:numId="2" w16cid:durableId="697586604">
    <w:abstractNumId w:val="0"/>
  </w:num>
  <w:num w:numId="3" w16cid:durableId="1728647983">
    <w:abstractNumId w:val="1"/>
  </w:num>
  <w:num w:numId="4" w16cid:durableId="489755814">
    <w:abstractNumId w:val="2"/>
  </w:num>
  <w:num w:numId="5" w16cid:durableId="609240009">
    <w:abstractNumId w:val="3"/>
  </w:num>
  <w:num w:numId="6" w16cid:durableId="559949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BB"/>
    <w:rsid w:val="00077DC4"/>
    <w:rsid w:val="00325FBB"/>
    <w:rsid w:val="005807D2"/>
    <w:rsid w:val="00654472"/>
    <w:rsid w:val="0068217E"/>
    <w:rsid w:val="00C5413B"/>
    <w:rsid w:val="00CB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778DF"/>
  <w15:chartTrackingRefBased/>
  <w15:docId w15:val="{6DE4C594-8FFD-48FE-8B01-23BC67FFC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A38"/>
  </w:style>
  <w:style w:type="paragraph" w:styleId="Ttulo1">
    <w:name w:val="heading 1"/>
    <w:basedOn w:val="Normal"/>
    <w:next w:val="Normal"/>
    <w:link w:val="Ttulo1Car"/>
    <w:uiPriority w:val="9"/>
    <w:qFormat/>
    <w:rsid w:val="0032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360</Words>
  <Characters>2165</Characters>
  <Application>Microsoft Office Word</Application>
  <DocSecurity>0</DocSecurity>
  <Lines>43</Lines>
  <Paragraphs>34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Nataly  Corredor Martinez</dc:creator>
  <cp:keywords/>
  <dc:description/>
  <cp:lastModifiedBy>Arley Smith Reina Saldana</cp:lastModifiedBy>
  <cp:revision>3</cp:revision>
  <dcterms:created xsi:type="dcterms:W3CDTF">2025-11-04T04:19:00Z</dcterms:created>
  <dcterms:modified xsi:type="dcterms:W3CDTF">2025-11-04T04:53:00Z</dcterms:modified>
</cp:coreProperties>
</file>