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Calibri" w:cs="Calibri" w:eastAsia="Calibri" w:hAnsi="Calibri"/>
          <w:b/>
          <w:bCs/>
          <w:color w:val="0D3143"/>
          <w:sz w:val="64"/>
          <w:szCs w:val="64"/>
        </w:rPr>
        <w:t xml:space="preserve">RUTA CLARA META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3FA89B"/>
          <w:sz w:val="28"/>
          <w:szCs w:val="28"/>
        </w:rPr>
        <w:t xml:space="preserve">Pitch de 5 minutos · Hackatón Villavicencio</w:t>
      </w:r>
    </w:p>
    <w:p>
      <w:pPr>
        <w:spacing w:after="500"/>
        <w:jc w:val="center"/>
      </w:pPr>
      <w:r>
        <w:rPr>
          <w:rFonts w:ascii="Calibri" w:cs="Calibri" w:eastAsia="Calibri" w:hAnsi="Calibri"/>
          <w:i/>
          <w:iCs/>
          <w:color w:val="5B7080"/>
          <w:sz w:val="22"/>
          <w:szCs w:val="22"/>
        </w:rPr>
        <w:t xml:space="preserve">Orientación clara y sin juicios para encontrar apoyo en salud mental en Villavicencio, Meta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"/>
        <w:gridCol w:w="70"/>
      </w:tblGrid>
      <w:tr>
        <w:trPr>
          <w:tblHeader/>
        </w:trPr>
        <w:tc>
          <w:tcPr>
            <w:tcW w:type="pct" w:w="1500"/>
            <w:tcBorders>
              <w:top w:val="single" w:color="D8E0E4" w:sz="2"/>
              <w:left w:val="single" w:color="D8E0E4" w:sz="2"/>
              <w:bottom w:val="single" w:color="D8E0E4" w:sz="2"/>
              <w:right w:val="single" w:color="D8E0E4" w:sz="2"/>
            </w:tcBorders>
            <w:shd w:fill="0D3143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pct" w:w="3500"/>
            <w:tcBorders>
              <w:top w:val="single" w:color="D8E0E4" w:sz="2"/>
              <w:left w:val="single" w:color="D8E0E4" w:sz="2"/>
              <w:bottom w:val="single" w:color="D8E0E4" w:sz="2"/>
              <w:right w:val="single" w:color="D8E0E4" w:sz="2"/>
            </w:tcBorders>
            <w:shd w:fill="0D3143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pct" w:w="1500"/>
            <w:tcBorders>
              <w:top w:val="single" w:color="D8E0E4" w:sz="2"/>
              <w:left w:val="single" w:color="D8E0E4" w:sz="2"/>
              <w:bottom w:val="single" w:color="D8E0E4" w:sz="2"/>
              <w:right w:val="single" w:color="D8E0E4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D3143"/>
                <w:sz w:val="19"/>
                <w:szCs w:val="19"/>
              </w:rPr>
              <w:t xml:space="preserve">Prototipo</w:t>
            </w:r>
          </w:p>
        </w:tc>
        <w:tc>
          <w:tcPr>
            <w:tcW w:type="pct" w:w="3500"/>
            <w:tcBorders>
              <w:top w:val="single" w:color="D8E0E4" w:sz="2"/>
              <w:left w:val="single" w:color="D8E0E4" w:sz="2"/>
              <w:bottom w:val="single" w:color="D8E0E4" w:sz="2"/>
              <w:right w:val="single" w:color="D8E0E4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D3143"/>
                <w:sz w:val="19"/>
                <w:szCs w:val="19"/>
              </w:rPr>
              <w:t xml:space="preserve">React + Vite (frontend) · Node.js + Express (backend)</w:t>
            </w:r>
          </w:p>
        </w:tc>
      </w:tr>
      <w:tr>
        <w:tc>
          <w:tcPr>
            <w:tcW w:type="pct" w:w="1500"/>
            <w:tcBorders>
              <w:top w:val="single" w:color="D8E0E4" w:sz="2"/>
              <w:left w:val="single" w:color="D8E0E4" w:sz="2"/>
              <w:bottom w:val="single" w:color="D8E0E4" w:sz="2"/>
              <w:right w:val="single" w:color="D8E0E4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D3143"/>
                <w:sz w:val="19"/>
                <w:szCs w:val="19"/>
              </w:rPr>
              <w:t xml:space="preserve">Madurez</w:t>
            </w:r>
          </w:p>
        </w:tc>
        <w:tc>
          <w:tcPr>
            <w:tcW w:type="pct" w:w="3500"/>
            <w:tcBorders>
              <w:top w:val="single" w:color="D8E0E4" w:sz="2"/>
              <w:left w:val="single" w:color="D8E0E4" w:sz="2"/>
              <w:bottom w:val="single" w:color="D8E0E4" w:sz="2"/>
              <w:right w:val="single" w:color="D8E0E4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D3143"/>
                <w:sz w:val="19"/>
                <w:szCs w:val="19"/>
              </w:rPr>
              <w:t xml:space="preserve">TRL 4 — prototipo funcional validado en laboratorio</w:t>
            </w:r>
          </w:p>
        </w:tc>
      </w:tr>
      <w:tr>
        <w:tc>
          <w:tcPr>
            <w:tcW w:type="pct" w:w="1500"/>
            <w:tcBorders>
              <w:top w:val="single" w:color="D8E0E4" w:sz="2"/>
              <w:left w:val="single" w:color="D8E0E4" w:sz="2"/>
              <w:bottom w:val="single" w:color="D8E0E4" w:sz="2"/>
              <w:right w:val="single" w:color="D8E0E4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D3143"/>
                <w:sz w:val="19"/>
                <w:szCs w:val="19"/>
              </w:rPr>
              <w:t xml:space="preserve">Duración estimada</w:t>
            </w:r>
          </w:p>
        </w:tc>
        <w:tc>
          <w:tcPr>
            <w:tcW w:type="pct" w:w="3500"/>
            <w:tcBorders>
              <w:top w:val="single" w:color="D8E0E4" w:sz="2"/>
              <w:left w:val="single" w:color="D8E0E4" w:sz="2"/>
              <w:bottom w:val="single" w:color="D8E0E4" w:sz="2"/>
              <w:right w:val="single" w:color="D8E0E4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D3143"/>
                <w:sz w:val="19"/>
                <w:szCs w:val="19"/>
              </w:rPr>
              <w:t xml:space="preserve">5 minutos de habla + 3 a 5 minutos de preguntas</w:t>
            </w:r>
          </w:p>
        </w:tc>
      </w:tr>
      <w:tr>
        <w:tc>
          <w:tcPr>
            <w:tcW w:type="pct" w:w="1500"/>
            <w:tcBorders>
              <w:top w:val="single" w:color="D8E0E4" w:sz="2"/>
              <w:left w:val="single" w:color="D8E0E4" w:sz="2"/>
              <w:bottom w:val="single" w:color="D8E0E4" w:sz="2"/>
              <w:right w:val="single" w:color="D8E0E4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D3143"/>
                <w:sz w:val="19"/>
                <w:szCs w:val="19"/>
              </w:rPr>
              <w:t xml:space="preserve">Ritmo recomendado</w:t>
            </w:r>
          </w:p>
        </w:tc>
        <w:tc>
          <w:tcPr>
            <w:tcW w:type="pct" w:w="3500"/>
            <w:tcBorders>
              <w:top w:val="single" w:color="D8E0E4" w:sz="2"/>
              <w:left w:val="single" w:color="D8E0E4" w:sz="2"/>
              <w:bottom w:val="single" w:color="D8E0E4" w:sz="2"/>
              <w:right w:val="single" w:color="D8E0E4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D3143"/>
                <w:sz w:val="19"/>
                <w:szCs w:val="19"/>
              </w:rPr>
              <w:t xml:space="preserve">160 palabras por minuto · texto completo ≈ 835 palabras</w:t>
            </w:r>
          </w:p>
        </w:tc>
      </w:tr>
      <w:tr>
        <w:tc>
          <w:tcPr>
            <w:tcW w:type="pct" w:w="1500"/>
            <w:tcBorders>
              <w:top w:val="single" w:color="D8E0E4" w:sz="2"/>
              <w:left w:val="single" w:color="D8E0E4" w:sz="2"/>
              <w:bottom w:val="single" w:color="D8E0E4" w:sz="2"/>
              <w:right w:val="single" w:color="D8E0E4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D3143"/>
                <w:sz w:val="19"/>
                <w:szCs w:val="19"/>
              </w:rPr>
              <w:t xml:space="preserve">Fecha de los datos citados</w:t>
            </w:r>
          </w:p>
        </w:tc>
        <w:tc>
          <w:tcPr>
            <w:tcW w:type="pct" w:w="3500"/>
            <w:tcBorders>
              <w:top w:val="single" w:color="D8E0E4" w:sz="2"/>
              <w:left w:val="single" w:color="D8E0E4" w:sz="2"/>
              <w:bottom w:val="single" w:color="D8E0E4" w:sz="2"/>
              <w:right w:val="single" w:color="D8E0E4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D3143"/>
                <w:sz w:val="19"/>
                <w:szCs w:val="19"/>
              </w:rPr>
              <w:t xml:space="preserve">octubre de 2026</w:t>
            </w:r>
          </w:p>
        </w:tc>
      </w:tr>
    </w:tbl>
    <w:p>
      <w:pPr>
        <w:spacing w:before="300"/>
      </w:pPr>
    </w:p>
    <w:p>
      <w:pPr>
        <w:pStyle w:val="Heading1"/>
        <w:spacing w:after="150" w:before="340"/>
      </w:pPr>
      <w:r>
        <w:rPr>
          <w:rFonts w:ascii="Calibri" w:cs="Calibri" w:eastAsia="Calibri" w:hAnsi="Calibri"/>
          <w:b/>
          <w:bCs/>
          <w:color w:val="0D3143"/>
          <w:sz w:val="30"/>
          <w:szCs w:val="30"/>
        </w:rPr>
        <w:t xml:space="preserve">Cómo usar este documento</w:t>
      </w:r>
    </w:p>
    <w:p>
      <w:pPr>
        <w:spacing w:after="140" w:line="300"/>
      </w:pPr>
      <w:r>
        <w:rPr>
          <w:rFonts w:ascii="Calibri" w:cs="Calibri" w:eastAsia="Calibri" w:hAnsi="Calibri"/>
        </w:rPr>
        <w:t xml:space="preserve">El guion está escrito para leerse en voz alta, no para resumirse. Las negritas marcan los momentos en que conviene bajar el ritmo. </w:t>
      </w:r>
      <w:r>
        <w:rPr>
          <w:rFonts w:ascii="Calibri" w:cs="Calibri" w:eastAsia="Calibri" w:hAnsi="Calibri"/>
          <w:i/>
          <w:iCs/>
          <w:color w:val="5B7080"/>
        </w:rPr>
        <w:t xml:space="preserve">Cada bloque incluye la marca de tiempo, el texto y una indicación de qué mostrar en pantalla.</w:t>
      </w:r>
    </w:p>
    <w:p>
      <w:pPr>
        <w:spacing w:after="140" w:line="300"/>
      </w:pPr>
      <w:r>
        <w:rPr>
          <w:rFonts w:ascii="Calibri" w:cs="Calibri" w:eastAsia="Calibri" w:hAnsi="Calibri"/>
        </w:rPr>
        <w:t xml:space="preserve">Si el reloj aprieta, recorta el bloque </w:t>
      </w:r>
      <w:r>
        <w:rPr>
          <w:rFonts w:ascii="Calibri" w:cs="Calibri" w:eastAsia="Calibri" w:hAnsi="Calibri"/>
          <w:b/>
          <w:bCs/>
        </w:rPr>
        <w:t xml:space="preserve">«Cómo acompaña»</w:t>
      </w:r>
      <w:r>
        <w:rPr>
          <w:rFonts w:ascii="Calibri" w:cs="Calibri" w:eastAsia="Calibri" w:hAnsi="Calibri"/>
        </w:rPr>
        <w:t xml:space="preserve"> a sus dos primeros párrafos: ahorra unos 30 segundos sin tocar los bloques de confianza ni de cierre, que son los que puntúan.</w:t>
      </w:r>
    </w:p>
    <w:p>
      <w:pPr>
        <w:spacing w:after="140" w:line="300"/>
      </w:pPr>
      <w:r>
        <w:rPr>
          <w:rFonts w:ascii="Calibri" w:cs="Calibri" w:eastAsia="Calibri" w:hAnsi="Calibri"/>
        </w:rPr>
        <w:t xml:space="preserve">Pantalla en vivo: </w:t>
      </w:r>
      <w:r>
        <w:rPr>
          <w:rFonts w:ascii="Calibri" w:cs="Calibri" w:eastAsia="Calibri" w:hAnsi="Calibri"/>
          <w:b/>
          <w:bCs/>
          <w:color w:val="3F7FBF"/>
        </w:rPr>
        <w:t xml:space="preserve">http://localhost:3000</w:t>
      </w:r>
      <w:r>
        <w:rPr>
          <w:rFonts w:ascii="Calibri" w:cs="Calibri" w:eastAsia="Calibri" w:hAnsi="Calibri"/>
        </w:rPr>
        <w:t xml:space="preserve"> — arrancarla antes de entrar a la sala y dejarla cargada en la pestaña «Centros presenciales».</w:t>
      </w:r>
    </w:p>
    <w:p>
      <w:pPr>
        <w:pStyle w:val="Heading1"/>
        <w:spacing w:after="150" w:before="340"/>
      </w:pPr>
      <w:r>
        <w:rPr>
          <w:rFonts w:ascii="Calibri" w:cs="Calibri" w:eastAsia="Calibri" w:hAnsi="Calibri"/>
          <w:b/>
          <w:bCs/>
          <w:color w:val="0D3143"/>
          <w:sz w:val="30"/>
          <w:szCs w:val="30"/>
        </w:rPr>
        <w:t xml:space="preserve">El pitch, bloque a bloque</w:t>
      </w:r>
    </w:p>
    <w:p>
      <w:pPr>
        <w:shd w:fill="F4F7F6" w:val="clear"/>
        <w:spacing w:after="40" w:before="3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0:00 – 0:30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alibri" w:cs="Calibri" w:eastAsia="Calibri" w:hAnsi="Calibri"/>
          <w:b/>
          <w:bCs/>
          <w:color w:val="0D3143"/>
          <w:sz w:val="24"/>
          <w:szCs w:val="24"/>
        </w:rPr>
        <w:t xml:space="preserve">Gancho — la puerta cerrada</w:t>
      </w:r>
    </w:p>
    <w:p>
      <w:pPr>
        <w:spacing w:after="140" w:before="80"/>
        <w:ind w:left="200"/>
      </w:pPr>
      <w:r>
        <w:rPr>
          <w:rFonts w:ascii="Calibri" w:cs="Calibri" w:eastAsia="Calibri" w:hAnsi="Calibri"/>
          <w:b/>
          <w:bCs/>
          <w:color w:val="3FA89B"/>
          <w:sz w:val="18"/>
          <w:szCs w:val="18"/>
        </w:rPr>
        <w:t xml:space="preserve">QUÉ MOSTRAR  </w:t>
      </w:r>
      <w:r>
        <w:rPr>
          <w:rFonts w:ascii="Calibri" w:cs="Calibri" w:eastAsia="Calibri" w:hAnsi="Calibri"/>
          <w:i/>
          <w:iCs/>
          <w:color w:val="5B7080"/>
          <w:sz w:val="19"/>
          <w:szCs w:val="19"/>
        </w:rPr>
        <w:t xml:space="preserve">Pantalla 1 y 2. No tocar el celular aún: dejar que la imagen del problema caiga sola.</w:t>
      </w:r>
    </w:p>
    <w:p>
      <w:pPr>
        <w:spacing w:after="150" w:line="310"/>
        <w:ind w:left="200"/>
      </w:pPr>
      <w:r>
        <w:rPr>
          <w:rFonts w:ascii="Calibri" w:cs="Calibri" w:eastAsia="Calibri" w:hAnsi="Calibri"/>
          <w:sz w:val="23"/>
          <w:szCs w:val="23"/>
        </w:rPr>
        <w:t xml:space="preserve">Imaginen que esta noche alguien en Villavicencio decide, por fin, pedir ayuda. Abre el celular, escribe «línea de salud mental Villavicencio» y aparecen tres números. Marca el primero: no contesta. El segundo es de Bogotá. El tercero le pide una clave que no tiene. A once de la noche, con todo el valor que le costó dar ese paso, cierra el celular y no vuelve a intentarlo.</w:t>
      </w:r>
    </w:p>
    <w:p>
      <w:pPr>
        <w:shd w:fill="F4F7F6" w:val="clear"/>
        <w:spacing w:after="40" w:before="3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0:30 – 1:20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alibri" w:cs="Calibri" w:eastAsia="Calibri" w:hAnsi="Calibri"/>
          <w:b/>
          <w:bCs/>
          <w:color w:val="0D3143"/>
          <w:sz w:val="24"/>
          <w:szCs w:val="24"/>
        </w:rPr>
        <w:t xml:space="preserve">El problema — no es falta de servicios, es dispersión</w:t>
      </w:r>
    </w:p>
    <w:p>
      <w:pPr>
        <w:spacing w:after="140" w:before="80"/>
        <w:ind w:left="200"/>
      </w:pPr>
      <w:r>
        <w:rPr>
          <w:rFonts w:ascii="Calibri" w:cs="Calibri" w:eastAsia="Calibri" w:hAnsi="Calibri"/>
          <w:b/>
          <w:bCs/>
          <w:color w:val="3FA89B"/>
          <w:sz w:val="18"/>
          <w:szCs w:val="18"/>
        </w:rPr>
        <w:t xml:space="preserve">QUÉ MOSTRAR  </w:t>
      </w:r>
      <w:r>
        <w:rPr>
          <w:rFonts w:ascii="Calibri" w:cs="Calibri" w:eastAsia="Calibri" w:hAnsi="Calibri"/>
          <w:i/>
          <w:iCs/>
          <w:color w:val="5B7080"/>
          <w:sz w:val="19"/>
          <w:szCs w:val="19"/>
        </w:rPr>
        <w:t xml:space="preserve">Pantalla 3. Pausa breve antes de la frase final en negrita; es el pivote del pitch.</w:t>
      </w:r>
    </w:p>
    <w:p>
      <w:pPr>
        <w:spacing w:after="150" w:line="310"/>
        <w:ind w:left="200"/>
      </w:pPr>
      <w:r>
        <w:rPr>
          <w:rFonts w:ascii="Calibri" w:cs="Calibri" w:eastAsia="Calibri" w:hAnsi="Calibri"/>
          <w:sz w:val="23"/>
          <w:szCs w:val="23"/>
        </w:rPr>
        <w:t xml:space="preserve">Ese escenario no es hipotético. En salud mental, un dato equivocado no es un error de interfaz: es una puerta que se cierra en el peor momento.</w:t>
      </w:r>
    </w:p>
    <w:p>
      <w:pPr>
        <w:spacing w:after="150" w:line="310"/>
        <w:ind w:left="200"/>
      </w:pPr>
      <w:r>
        <w:rPr>
          <w:rFonts w:ascii="Calibri" w:cs="Calibri" w:eastAsia="Calibri" w:hAnsi="Calibri"/>
          <w:sz w:val="23"/>
          <w:szCs w:val="23"/>
        </w:rPr>
        <w:t xml:space="preserve">Y el problema no es que falten servicios. En el Meta existen líneas reales y centros reales. El problema es que la información vive dispersa: PDFs que cambian de nombre, páginas institucionales con URLs que se mueven, directorios que mezclan líneas nacionales con locales y grupos de WhatsApp. Quien está en crisis es la última persona con tiempo para hacer curaduría de información.</w:t>
      </w:r>
    </w:p>
    <w:p>
      <w:pPr>
        <w:spacing w:after="150" w:line="310"/>
        <w:ind w:left="200"/>
      </w:pPr>
      <w:r>
        <w:rPr>
          <w:rFonts w:ascii="Calibri" w:cs="Calibri" w:eastAsia="Calibri" w:hAnsi="Calibri"/>
          <w:sz w:val="23"/>
          <w:szCs w:val="23"/>
        </w:rPr>
        <w:t xml:space="preserve">Nosotros arrancamos con una regla incómoda: si no está verificado, no se publica. Y no la dejamos escrita en un manifiesto: la metimos dentro del código.</w:t>
      </w:r>
    </w:p>
    <w:p>
      <w:pPr>
        <w:shd w:fill="F4F7F6" w:val="clear"/>
        <w:spacing w:after="40" w:before="3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1:20 – 2:05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alibri" w:cs="Calibri" w:eastAsia="Calibri" w:hAnsi="Calibri"/>
          <w:b/>
          <w:bCs/>
          <w:color w:val="0D3143"/>
          <w:sz w:val="24"/>
          <w:szCs w:val="24"/>
        </w:rPr>
        <w:t xml:space="preserve">Qué es — y su columna vertebral</w:t>
      </w:r>
    </w:p>
    <w:p>
      <w:pPr>
        <w:spacing w:after="140" w:before="80"/>
        <w:ind w:left="200"/>
      </w:pPr>
      <w:r>
        <w:rPr>
          <w:rFonts w:ascii="Calibri" w:cs="Calibri" w:eastAsia="Calibri" w:hAnsi="Calibri"/>
          <w:b/>
          <w:bCs/>
          <w:color w:val="3FA89B"/>
          <w:sz w:val="18"/>
          <w:szCs w:val="18"/>
        </w:rPr>
        <w:t xml:space="preserve">QUÉ MOSTRAR  </w:t>
      </w:r>
      <w:r>
        <w:rPr>
          <w:rFonts w:ascii="Calibri" w:cs="Calibri" w:eastAsia="Calibri" w:hAnsi="Calibri"/>
          <w:i/>
          <w:iCs/>
          <w:color w:val="5B7080"/>
          <w:sz w:val="19"/>
          <w:szCs w:val="19"/>
        </w:rPr>
        <w:t xml:space="preserve">Pantalla 4 y 5. Aquí conviene mostrar la app en vivo y pulsar el botón rojo una vez.</w:t>
      </w:r>
    </w:p>
    <w:p>
      <w:pPr>
        <w:spacing w:after="150" w:line="310"/>
        <w:ind w:left="200"/>
      </w:pPr>
      <w:r>
        <w:rPr>
          <w:rFonts w:ascii="Calibri" w:cs="Calibri" w:eastAsia="Calibri" w:hAnsi="Calibri"/>
          <w:sz w:val="23"/>
          <w:szCs w:val="23"/>
        </w:rPr>
        <w:t xml:space="preserve">Ruta Clara Meta es una aplicación web para celular que ofrece orientación clara y sin juicios para encontrar apoyo en salud mental en Villavicencio. Es un prototipo TRL 4, hecho con React y Node, y tiene seis espacios: Inicio, Líneas de ayuda, Al viento, Centros presenciales, Zona de paz y Regálate momentos.</w:t>
      </w:r>
    </w:p>
    <w:p>
      <w:pPr>
        <w:spacing w:after="150" w:line="310"/>
        <w:ind w:left="200"/>
      </w:pPr>
      <w:r>
        <w:rPr>
          <w:rFonts w:ascii="Calibri" w:cs="Calibri" w:eastAsia="Calibri" w:hAnsi="Calibri"/>
          <w:sz w:val="23"/>
          <w:szCs w:val="23"/>
        </w:rPr>
        <w:t xml:space="preserve">Pero su columna vertebral no son las pestañas. Es el botón rojo fijo: «Necesito hablar con alguien ahora». Nunca se esconde, está en todas las pestañas, y su lista de teléfonos vive dentro del navegador, no en el servidor. Si se cae nuestra infraestructura o no hay internet, la ayuda inmediata sigue ahí. Fue deliberado: en crisis, la ayuda no puede depender de nosotros.</w:t>
      </w:r>
    </w:p>
    <w:p>
      <w:pPr>
        <w:shd w:fill="F4F7F6" w:val="clear"/>
        <w:spacing w:after="40" w:before="3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2:05 – 3:00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alibri" w:cs="Calibri" w:eastAsia="Calibri" w:hAnsi="Calibri"/>
          <w:b/>
          <w:bCs/>
          <w:color w:val="0D3143"/>
          <w:sz w:val="24"/>
          <w:szCs w:val="24"/>
        </w:rPr>
        <w:t xml:space="preserve">Cómo acompaña — los módulos</w:t>
      </w:r>
    </w:p>
    <w:p>
      <w:pPr>
        <w:spacing w:after="140" w:before="80"/>
        <w:ind w:left="200"/>
      </w:pPr>
      <w:r>
        <w:rPr>
          <w:rFonts w:ascii="Calibri" w:cs="Calibri" w:eastAsia="Calibri" w:hAnsi="Calibri"/>
          <w:b/>
          <w:bCs/>
          <w:color w:val="3FA89B"/>
          <w:sz w:val="18"/>
          <w:szCs w:val="18"/>
        </w:rPr>
        <w:t xml:space="preserve">QUÉ MOSTRAR  </w:t>
      </w:r>
      <w:r>
        <w:rPr>
          <w:rFonts w:ascii="Calibri" w:cs="Calibri" w:eastAsia="Calibri" w:hAnsi="Calibri"/>
          <w:i/>
          <w:iCs/>
          <w:color w:val="5B7080"/>
          <w:sz w:val="19"/>
          <w:szCs w:val="19"/>
        </w:rPr>
        <w:t xml:space="preserve">Pantallas 6 y 7. Demo en vivo de Al viento: es el momento en que el jurado sonríe. Recortable si falta tiempo.</w:t>
      </w:r>
    </w:p>
    <w:p>
      <w:pPr>
        <w:spacing w:after="150" w:line="310"/>
        <w:ind w:left="200"/>
      </w:pPr>
      <w:r>
        <w:rPr>
          <w:rFonts w:ascii="Calibri" w:cs="Calibri" w:eastAsia="Calibri" w:hAnsi="Calibri"/>
          <w:sz w:val="23"/>
          <w:szCs w:val="23"/>
        </w:rPr>
        <w:t xml:space="preserve">El resto acompaña sin juzgar.</w:t>
      </w:r>
    </w:p>
    <w:p>
      <w:pPr>
        <w:spacing w:after="150" w:line="310"/>
        <w:ind w:left="200"/>
      </w:pPr>
      <w:r>
        <w:rPr>
          <w:rFonts w:ascii="Calibri" w:cs="Calibri" w:eastAsia="Calibri" w:hAnsi="Calibri"/>
          <w:sz w:val="23"/>
          <w:szCs w:val="23"/>
        </w:rPr>
        <w:t xml:space="preserve">En Líneas de ayuda hay un filtro «En Villavicencio» que usa un campo booleano explícito y no una búsqueda de texto: devuelve las tres líneas regionales y deja fuera la 123, que es para peligro inmediato.</w:t>
      </w:r>
    </w:p>
    <w:p>
      <w:pPr>
        <w:spacing w:after="150" w:line="310"/>
        <w:ind w:left="200"/>
      </w:pPr>
      <w:r>
        <w:rPr>
          <w:rFonts w:ascii="Calibri" w:cs="Calibri" w:eastAsia="Calibri" w:hAnsi="Calibri"/>
          <w:sz w:val="23"/>
          <w:szCs w:val="23"/>
        </w:rPr>
        <w:t xml:space="preserve">En Al viento, la persona escribe lo que le pesa y, al soltarlo, el texto se deshace en pétalos que el viento arrastra hasta convertirlo en una flor o una mariposa. Lo que escribe solo existe mientras escribe: no se envía a ningún servidor.</w:t>
      </w:r>
    </w:p>
    <w:p>
      <w:pPr>
        <w:spacing w:after="150" w:line="310"/>
        <w:ind w:left="200"/>
      </w:pPr>
      <w:r>
        <w:rPr>
          <w:rFonts w:ascii="Calibri" w:cs="Calibri" w:eastAsia="Calibri" w:hAnsi="Calibri"/>
          <w:sz w:val="23"/>
          <w:szCs w:val="23"/>
        </w:rPr>
        <w:t xml:space="preserve">En Centros presenciales, un mapa fijo de OpenStreetMap, sin pedir ubicación, con tres centros verificados. En Zona de paz, respiración guiada y música generada en el propio navegador. Y en Regálate momentos, ciento cinco actividades de bienestar que se abren como hojas de un árbol.</w:t>
      </w:r>
    </w:p>
    <w:p>
      <w:pPr>
        <w:shd w:fill="F4F7F6" w:val="clear"/>
        <w:spacing w:after="40" w:before="3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3:00 – 3:55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alibri" w:cs="Calibri" w:eastAsia="Calibri" w:hAnsi="Calibri"/>
          <w:b/>
          <w:bCs/>
          <w:color w:val="0D3143"/>
          <w:sz w:val="24"/>
          <w:szCs w:val="24"/>
        </w:rPr>
        <w:t xml:space="preserve">Por qué es confiable — el caso del 106</w:t>
      </w:r>
    </w:p>
    <w:p>
      <w:pPr>
        <w:spacing w:after="140" w:before="80"/>
        <w:ind w:left="200"/>
      </w:pPr>
      <w:r>
        <w:rPr>
          <w:rFonts w:ascii="Calibri" w:cs="Calibri" w:eastAsia="Calibri" w:hAnsi="Calibri"/>
          <w:b/>
          <w:bCs/>
          <w:color w:val="3FA89B"/>
          <w:sz w:val="18"/>
          <w:szCs w:val="18"/>
        </w:rPr>
        <w:t xml:space="preserve">QUÉ MOSTRAR  </w:t>
      </w:r>
      <w:r>
        <w:rPr>
          <w:rFonts w:ascii="Calibri" w:cs="Calibri" w:eastAsia="Calibri" w:hAnsi="Calibri"/>
          <w:i/>
          <w:iCs/>
          <w:color w:val="5B7080"/>
          <w:sz w:val="19"/>
          <w:szCs w:val="19"/>
        </w:rPr>
        <w:t xml:space="preserve">Pantalla 8. Este es el bloque que gana hackatones. Hablarlo despacio, sin tecnicismos.</w:t>
      </w:r>
    </w:p>
    <w:p>
      <w:pPr>
        <w:spacing w:after="150" w:line="310"/>
        <w:ind w:left="200"/>
      </w:pPr>
      <w:r>
        <w:rPr>
          <w:rFonts w:ascii="Calibri" w:cs="Calibri" w:eastAsia="Calibri" w:hAnsi="Calibri"/>
          <w:sz w:val="23"/>
          <w:szCs w:val="23"/>
        </w:rPr>
        <w:t xml:space="preserve">Aquí es donde un bonito mockup se separa de un prototipo defendible.</w:t>
      </w:r>
    </w:p>
    <w:p>
      <w:pPr>
        <w:spacing w:after="150" w:line="310"/>
        <w:ind w:left="200"/>
      </w:pPr>
      <w:r>
        <w:rPr>
          <w:rFonts w:ascii="Calibri" w:cs="Calibri" w:eastAsia="Calibri" w:hAnsi="Calibri"/>
          <w:sz w:val="23"/>
          <w:szCs w:val="23"/>
        </w:rPr>
        <w:t xml:space="preserve">Todo lo que se ve en pantalla declara dos cosas: quién lo dice y cuándo lo comprobamos. Y esa regla está automatizada: si alguien agrega un registro sin fuente o sin fecha, las pruebas fallan y bloquean la publicación.</w:t>
      </w:r>
    </w:p>
    <w:p>
      <w:pPr>
        <w:spacing w:after="150" w:line="310"/>
        <w:ind w:left="200"/>
      </w:pPr>
      <w:r>
        <w:rPr>
          <w:rFonts w:ascii="Calibri" w:cs="Calibri" w:eastAsia="Calibri" w:hAnsi="Calibri"/>
          <w:sz w:val="23"/>
          <w:szCs w:val="23"/>
        </w:rPr>
        <w:t xml:space="preserve">El ejemplo más honesto es el 106. Es la línea nacional de salud mental y todos asumimos que funciona aquí. Pero no encontramos fuente que confirmara su disponibilidad en Villavicencio, así que lo retiramos. No hay ningún botón con ese número, y una prueba automática impide que vuelva. Lo sustituimos por Yo Te Escucho, la línea local verificada de la Alcaldía. Preferimos una opción de menos antes que una opción dudosa.</w:t>
      </w:r>
    </w:p>
    <w:p>
      <w:pPr>
        <w:spacing w:after="150" w:line="310"/>
        <w:ind w:left="200"/>
      </w:pPr>
      <w:r>
        <w:rPr>
          <w:rFonts w:ascii="Calibri" w:cs="Calibri" w:eastAsia="Calibri" w:hAnsi="Calibri"/>
          <w:sz w:val="23"/>
          <w:szCs w:val="23"/>
        </w:rPr>
        <w:t xml:space="preserve">Y si una ficha no tiene coordenadas verificadas, el mapa no inventa un punto: muestra la vista general y lo dice en el pie.</w:t>
      </w:r>
    </w:p>
    <w:p>
      <w:pPr>
        <w:shd w:fill="F4F7F6" w:val="clear"/>
        <w:spacing w:after="40" w:before="3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3:55 – 4:30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alibri" w:cs="Calibri" w:eastAsia="Calibri" w:hAnsi="Calibri"/>
          <w:b/>
          <w:bCs/>
          <w:color w:val="0D3143"/>
          <w:sz w:val="24"/>
          <w:szCs w:val="24"/>
        </w:rPr>
        <w:t xml:space="preserve">Estado — medible, no prometido</w:t>
      </w:r>
    </w:p>
    <w:p>
      <w:pPr>
        <w:spacing w:after="140" w:before="80"/>
        <w:ind w:left="200"/>
      </w:pPr>
      <w:r>
        <w:rPr>
          <w:rFonts w:ascii="Calibri" w:cs="Calibri" w:eastAsia="Calibri" w:hAnsi="Calibri"/>
          <w:b/>
          <w:bCs/>
          <w:color w:val="3FA89B"/>
          <w:sz w:val="18"/>
          <w:szCs w:val="18"/>
        </w:rPr>
        <w:t xml:space="preserve">QUÉ MOSTRAR  </w:t>
      </w:r>
      <w:r>
        <w:rPr>
          <w:rFonts w:ascii="Calibri" w:cs="Calibri" w:eastAsia="Calibri" w:hAnsi="Calibri"/>
          <w:i/>
          <w:iCs/>
          <w:color w:val="5B7080"/>
          <w:sz w:val="19"/>
          <w:szCs w:val="19"/>
        </w:rPr>
        <w:t xml:space="preserve">Pantalla 9. Marcar cada cifra con el dedo. Son las cuatro que el jurado va a anotar.</w:t>
      </w:r>
    </w:p>
    <w:p>
      <w:pPr>
        <w:spacing w:after="150" w:line="310"/>
        <w:ind w:left="200"/>
      </w:pPr>
      <w:r>
        <w:rPr>
          <w:rFonts w:ascii="Calibri" w:cs="Calibri" w:eastAsia="Calibri" w:hAnsi="Calibri"/>
          <w:sz w:val="23"/>
          <w:szCs w:val="23"/>
        </w:rPr>
        <w:t xml:space="preserve">El prototipo funciona y es medible. Setenta y dos pruebas automatizadas en verde: cuarenta y cuatro de datos y API, veintiocho de interfaz. Cero vulnerabilidades. Inventario completo de doscientas siete dependencias, todas con licencia declarada, y ni un solo archivo binario de terceros: los iconos e ilustraciones son SVG propios.</w:t>
      </w:r>
    </w:p>
    <w:p>
      <w:pPr>
        <w:spacing w:after="150" w:line="310"/>
        <w:ind w:left="200"/>
      </w:pPr>
      <w:r>
        <w:rPr>
          <w:rFonts w:ascii="Calibri" w:cs="Calibri" w:eastAsia="Calibri" w:hAnsi="Calibri"/>
          <w:sz w:val="23"/>
          <w:szCs w:val="23"/>
        </w:rPr>
        <w:t xml:space="preserve">El contenido de salud se prueba con datos sintéticos, inventados, y tenemos un plan de operación con doble firma y revisión cada treinta días.</w:t>
      </w:r>
    </w:p>
    <w:p>
      <w:pPr>
        <w:shd w:fill="F4F7F6" w:val="clear"/>
        <w:spacing w:after="40" w:before="3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4:30 – 5:10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alibri" w:cs="Calibri" w:eastAsia="Calibri" w:hAnsi="Calibri"/>
          <w:b/>
          <w:bCs/>
          <w:color w:val="0D3143"/>
          <w:sz w:val="24"/>
          <w:szCs w:val="24"/>
        </w:rPr>
        <w:t xml:space="preserve">Cierre — lo que no es y lo que pedimos</w:t>
      </w:r>
    </w:p>
    <w:p>
      <w:pPr>
        <w:spacing w:after="140" w:before="80"/>
        <w:ind w:left="200"/>
      </w:pPr>
      <w:r>
        <w:rPr>
          <w:rFonts w:ascii="Calibri" w:cs="Calibri" w:eastAsia="Calibri" w:hAnsi="Calibri"/>
          <w:b/>
          <w:bCs/>
          <w:color w:val="3FA89B"/>
          <w:sz w:val="18"/>
          <w:szCs w:val="18"/>
        </w:rPr>
        <w:t xml:space="preserve">QUÉ MOSTRAR  </w:t>
      </w:r>
      <w:r>
        <w:rPr>
          <w:rFonts w:ascii="Calibri" w:cs="Calibri" w:eastAsia="Calibri" w:hAnsi="Calibri"/>
          <w:i/>
          <w:iCs/>
          <w:color w:val="5B7080"/>
          <w:sz w:val="19"/>
          <w:szCs w:val="19"/>
        </w:rPr>
        <w:t xml:space="preserve">Pantallas 10 y 11. Mirar al jurado, no a la pantalla. Terminar en silencio, sin «gracias» apresurado.</w:t>
      </w:r>
    </w:p>
    <w:p>
      <w:pPr>
        <w:spacing w:after="150" w:line="310"/>
        <w:ind w:left="200"/>
      </w:pPr>
      <w:r>
        <w:rPr>
          <w:rFonts w:ascii="Calibri" w:cs="Calibri" w:eastAsia="Calibri" w:hAnsi="Calibri"/>
          <w:sz w:val="23"/>
          <w:szCs w:val="23"/>
        </w:rPr>
        <w:t xml:space="preserve">Seamos claros sobre lo que esto no es: no diagnostica, no trata y no sustituye la atención profesional. Es un acompañamiento con datos honestos, y ese es justamente el punto.</w:t>
      </w:r>
    </w:p>
    <w:p>
      <w:pPr>
        <w:spacing w:after="150" w:line="310"/>
        <w:ind w:left="200"/>
      </w:pPr>
      <w:r>
        <w:rPr>
          <w:rFonts w:ascii="Calibri" w:cs="Calibri" w:eastAsia="Calibri" w:hAnsi="Calibri"/>
          <w:sz w:val="23"/>
          <w:szCs w:val="23"/>
        </w:rPr>
        <w:t xml:space="preserve">Lo que pedimos hoy es validación y acompañamiento institucional. Queremos que la Secretaría de Salud del Meta y la Alcaldía revisen con nosotros las líneas y la bitácora, porque un producto de salud mental no se sostiene con la energía de un hackathon: necesita dueños.</w:t>
      </w:r>
    </w:p>
    <w:p>
      <w:pPr>
        <w:spacing w:after="150" w:line="310"/>
        <w:ind w:left="200"/>
      </w:pPr>
      <w:r>
        <w:rPr>
          <w:rFonts w:ascii="Calibri" w:cs="Calibri" w:eastAsia="Calibri" w:hAnsi="Calibri"/>
          <w:sz w:val="23"/>
          <w:szCs w:val="23"/>
        </w:rPr>
        <w:t xml:space="preserve">Si alguien esta noche busca ayuda en Villavicencio, que encuentre un dato cierto a la primera. No prometemos resolver la crisis de salud mental del Meta. Prometemos una sola cosa: que la puerta esté abierta y que el número que marque sea el correcto.</w:t>
      </w:r>
    </w:p>
    <w:p>
      <w:pPr>
        <w:pStyle w:val="Heading1"/>
        <w:spacing w:after="150" w:before="340"/>
      </w:pPr>
      <w:r>
        <w:rPr>
          <w:rFonts w:ascii="Calibri" w:cs="Calibri" w:eastAsia="Calibri" w:hAnsi="Calibri"/>
          <w:b/>
          <w:bCs/>
          <w:color w:val="0D3143"/>
          <w:sz w:val="30"/>
          <w:szCs w:val="30"/>
        </w:rPr>
        <w:t xml:space="preserve">Cierre y pregunta final</w:t>
      </w:r>
    </w:p>
    <w:p>
      <w:pPr>
        <w:spacing w:after="140" w:line="300"/>
      </w:pPr>
      <w:r>
        <w:rPr>
          <w:rFonts w:ascii="Calibri" w:cs="Calibri" w:eastAsia="Calibri" w:hAnsi="Calibri"/>
        </w:rPr>
        <w:t xml:space="preserve">Terminar con la frase de cierre y </w:t>
      </w:r>
      <w:r>
        <w:rPr>
          <w:rFonts w:ascii="Calibri" w:cs="Calibri" w:eastAsia="Calibri" w:hAnsi="Calibri"/>
          <w:b/>
          <w:bCs/>
        </w:rPr>
        <w:t xml:space="preserve">guardar silencio dos segundos</w:t>
      </w:r>
      <w:r>
        <w:rPr>
          <w:rFonts w:ascii="Calibri" w:cs="Calibri" w:eastAsia="Calibri" w:hAnsi="Calibri"/>
        </w:rPr>
        <w:t xml:space="preserve">. Después abrir a preguntas. No rellenar ese silencio: es donde el jurado deja de tomar notas y empieza a decidir.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"/>
        <w:gridCol w:w="50"/>
      </w:tblGrid>
      <w:tr>
        <w:trPr>
          <w:tblHeader/>
        </w:trPr>
        <w:tc>
          <w:tcPr>
            <w:tcW w:type="pct" w:w="2500"/>
            <w:tcBorders>
              <w:top w:val="single" w:color="D8E0E4" w:sz="2"/>
              <w:left w:val="single" w:color="D8E0E4" w:sz="2"/>
              <w:bottom w:val="single" w:color="D8E0E4" w:sz="2"/>
              <w:right w:val="single" w:color="D8E0E4" w:sz="2"/>
            </w:tcBorders>
            <w:shd w:fill="0D3143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 que sí pedimos</w:t>
            </w:r>
          </w:p>
        </w:tc>
        <w:tc>
          <w:tcPr>
            <w:tcW w:type="pct" w:w="2500"/>
            <w:tcBorders>
              <w:top w:val="single" w:color="D8E0E4" w:sz="2"/>
              <w:left w:val="single" w:color="D8E0E4" w:sz="2"/>
              <w:bottom w:val="single" w:color="D8E0E4" w:sz="2"/>
              <w:right w:val="single" w:color="D8E0E4" w:sz="2"/>
            </w:tcBorders>
            <w:shd w:fill="0D3143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 que no pedimos</w:t>
            </w:r>
          </w:p>
        </w:tc>
      </w:tr>
      <w:tr>
        <w:tc>
          <w:tcPr>
            <w:tcW w:type="pct" w:w="2500"/>
            <w:tcBorders>
              <w:top w:val="single" w:color="D8E0E4" w:sz="2"/>
              <w:left w:val="single" w:color="D8E0E4" w:sz="2"/>
              <w:bottom w:val="single" w:color="D8E0E4" w:sz="2"/>
              <w:right w:val="single" w:color="D8E0E4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D3143"/>
                <w:sz w:val="19"/>
                <w:szCs w:val="19"/>
              </w:rPr>
              <w:t xml:space="preserve">Validación institucional de la lista de líneas</w:t>
            </w:r>
          </w:p>
        </w:tc>
        <w:tc>
          <w:tcPr>
            <w:tcW w:type="pct" w:w="2500"/>
            <w:tcBorders>
              <w:top w:val="single" w:color="D8E0E4" w:sz="2"/>
              <w:left w:val="single" w:color="D8E0E4" w:sz="2"/>
              <w:bottom w:val="single" w:color="D8E0E4" w:sz="2"/>
              <w:right w:val="single" w:color="D8E0E4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D3143"/>
                <w:sz w:val="19"/>
                <w:szCs w:val="19"/>
              </w:rPr>
              <w:t xml:space="preserve">Que se asuma que es un servicio operativo</w:t>
            </w:r>
          </w:p>
        </w:tc>
      </w:tr>
      <w:tr>
        <w:tc>
          <w:tcPr>
            <w:tcW w:type="pct" w:w="2500"/>
            <w:tcBorders>
              <w:top w:val="single" w:color="D8E0E4" w:sz="2"/>
              <w:left w:val="single" w:color="D8E0E4" w:sz="2"/>
              <w:bottom w:val="single" w:color="D8E0E4" w:sz="2"/>
              <w:right w:val="single" w:color="D8E0E4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D3143"/>
                <w:sz w:val="19"/>
                <w:szCs w:val="19"/>
              </w:rPr>
              <w:t xml:space="preserve">Un responsable de contenido con doble firma</w:t>
            </w:r>
          </w:p>
        </w:tc>
        <w:tc>
          <w:tcPr>
            <w:tcW w:type="pct" w:w="2500"/>
            <w:tcBorders>
              <w:top w:val="single" w:color="D8E0E4" w:sz="2"/>
              <w:left w:val="single" w:color="D8E0E4" w:sz="2"/>
              <w:bottom w:val="single" w:color="D8E0E4" w:sz="2"/>
              <w:right w:val="single" w:color="D8E0E4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D3143"/>
                <w:sz w:val="19"/>
                <w:szCs w:val="19"/>
              </w:rPr>
              <w:t xml:space="preserve">Financiamiento para operarlo</w:t>
            </w:r>
          </w:p>
        </w:tc>
      </w:tr>
      <w:tr>
        <w:tc>
          <w:tcPr>
            <w:tcW w:type="pct" w:w="2500"/>
            <w:tcBorders>
              <w:top w:val="single" w:color="D8E0E4" w:sz="2"/>
              <w:left w:val="single" w:color="D8E0E4" w:sz="2"/>
              <w:bottom w:val="single" w:color="D8E0E4" w:sz="2"/>
              <w:right w:val="single" w:color="D8E0E4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D3143"/>
                <w:sz w:val="19"/>
                <w:szCs w:val="19"/>
              </w:rPr>
              <w:t xml:space="preserve">Revisión conjunta cada 30 días</w:t>
            </w:r>
          </w:p>
        </w:tc>
        <w:tc>
          <w:tcPr>
            <w:tcW w:type="pct" w:w="2500"/>
            <w:tcBorders>
              <w:top w:val="single" w:color="D8E0E4" w:sz="2"/>
              <w:left w:val="single" w:color="D8E0E4" w:sz="2"/>
              <w:bottom w:val="single" w:color="D8E0E4" w:sz="2"/>
              <w:right w:val="single" w:color="D8E0E4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D3143"/>
                <w:sz w:val="19"/>
                <w:szCs w:val="19"/>
              </w:rPr>
              <w:t xml:space="preserve">Que sustituya atención profesional</w:t>
            </w:r>
          </w:p>
        </w:tc>
      </w:tr>
    </w:tbl>
    <w:p>
      <w:pPr>
        <w:pStyle w:val="Heading1"/>
        <w:spacing w:after="150" w:before="340"/>
      </w:pPr>
      <w:r>
        <w:rPr>
          <w:rFonts w:ascii="Calibri" w:cs="Calibri" w:eastAsia="Calibri" w:hAnsi="Calibri"/>
          <w:b/>
          <w:bCs/>
          <w:color w:val="0D3143"/>
          <w:sz w:val="30"/>
          <w:szCs w:val="30"/>
        </w:rPr>
        <w:t xml:space="preserve">Preguntas probables del jurado</w:t>
      </w:r>
    </w:p>
    <w:p>
      <w:pPr>
        <w:spacing w:after="140" w:line="300"/>
      </w:pPr>
      <w:r>
        <w:rPr>
          <w:rFonts w:ascii="Calibri" w:cs="Calibri" w:eastAsia="Calibri" w:hAnsi="Calibri"/>
          <w:i/>
          <w:iCs/>
          <w:color w:val="5B7080"/>
        </w:rPr>
        <w:t xml:space="preserve">Respuestas de una sola idea. Si preguntan por algo que no sabemos, la respuesta correcta es «no lo sabemos y así queda registrado en el plan de operación».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"/>
        <w:gridCol w:w="62"/>
      </w:tblGrid>
      <w:tr>
        <w:trPr>
          <w:tblHeader/>
        </w:trPr>
        <w:tc>
          <w:tcPr>
            <w:tcW w:type="pct" w:w="1900"/>
            <w:tcBorders>
              <w:top w:val="single" w:color="D8E0E4" w:sz="2"/>
              <w:left w:val="single" w:color="D8E0E4" w:sz="2"/>
              <w:bottom w:val="single" w:color="D8E0E4" w:sz="2"/>
              <w:right w:val="single" w:color="D8E0E4" w:sz="2"/>
            </w:tcBorders>
            <w:shd w:fill="0D3143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Pregunta</w:t>
            </w:r>
          </w:p>
        </w:tc>
        <w:tc>
          <w:tcPr>
            <w:tcW w:type="pct" w:w="3100"/>
            <w:tcBorders>
              <w:top w:val="single" w:color="D8E0E4" w:sz="2"/>
              <w:left w:val="single" w:color="D8E0E4" w:sz="2"/>
              <w:bottom w:val="single" w:color="D8E0E4" w:sz="2"/>
              <w:right w:val="single" w:color="D8E0E4" w:sz="2"/>
            </w:tcBorders>
            <w:shd w:fill="0D3143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Respuesta sugerida</w:t>
            </w:r>
          </w:p>
        </w:tc>
      </w:tr>
      <w:tr>
        <w:tc>
          <w:tcPr>
            <w:tcW w:type="pct" w:w="1900"/>
            <w:tcBorders>
              <w:top w:val="single" w:color="D8E0E4" w:sz="2"/>
              <w:left w:val="single" w:color="D8E0E4" w:sz="2"/>
              <w:bottom w:val="single" w:color="D8E0E4" w:sz="2"/>
              <w:right w:val="single" w:color="D8E0E4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D3143"/>
                <w:sz w:val="19"/>
                <w:szCs w:val="19"/>
              </w:rPr>
              <w:t xml:space="preserve">¿Por qué no usan el 106 si es la línea nacional?</w:t>
            </w:r>
          </w:p>
        </w:tc>
        <w:tc>
          <w:tcPr>
            <w:tcW w:type="pct" w:w="3100"/>
            <w:tcBorders>
              <w:top w:val="single" w:color="D8E0E4" w:sz="2"/>
              <w:left w:val="single" w:color="D8E0E4" w:sz="2"/>
              <w:bottom w:val="single" w:color="D8E0E4" w:sz="2"/>
              <w:right w:val="single" w:color="D8E0E4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D3143"/>
                <w:sz w:val="19"/>
                <w:szCs w:val="19"/>
              </w:rPr>
              <w:t xml:space="preserve">Porque no superó nuestro criterio de comprobación en vivo para Villavicencio. No lo mostramos, no hay ningún botón que lo marque y una prueba automática impide que vuelva sin verificarlo. Es el mejor ejemplo de nuestra regla.</w:t>
            </w:r>
          </w:p>
        </w:tc>
      </w:tr>
      <w:tr>
        <w:tc>
          <w:tcPr>
            <w:tcW w:type="pct" w:w="1900"/>
            <w:tcBorders>
              <w:top w:val="single" w:color="D8E0E4" w:sz="2"/>
              <w:left w:val="single" w:color="D8E0E4" w:sz="2"/>
              <w:bottom w:val="single" w:color="D8E0E4" w:sz="2"/>
              <w:right w:val="single" w:color="D8E0E4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D3143"/>
                <w:sz w:val="19"/>
                <w:szCs w:val="19"/>
              </w:rPr>
              <w:t xml:space="preserve">¿Los datos están confirmados por las instituciones?</w:t>
            </w:r>
          </w:p>
        </w:tc>
        <w:tc>
          <w:tcPr>
            <w:tcW w:type="pct" w:w="3100"/>
            <w:tcBorders>
              <w:top w:val="single" w:color="D8E0E4" w:sz="2"/>
              <w:left w:val="single" w:color="D8E0E4" w:sz="2"/>
              <w:bottom w:val="single" w:color="D8E0E4" w:sz="2"/>
              <w:right w:val="single" w:color="D8E0E4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D3143"/>
                <w:sz w:val="19"/>
                <w:szCs w:val="19"/>
              </w:rPr>
              <w:t xml:space="preserve">Todos salen de fuentes primarias oficiales con dominio .gov.co o de la institución titular: Alcaldía de Villavicencio, Gobernación del Meta, Secretaría de la Mujer y el Directorio Nacional de MinSalud. Cada ficha muestra la entidad y la fecha de la última comprobación, que hoy es octubre de 2026.</w:t>
            </w:r>
          </w:p>
        </w:tc>
      </w:tr>
      <w:tr>
        <w:tc>
          <w:tcPr>
            <w:tcW w:type="pct" w:w="1900"/>
            <w:tcBorders>
              <w:top w:val="single" w:color="D8E0E4" w:sz="2"/>
              <w:left w:val="single" w:color="D8E0E4" w:sz="2"/>
              <w:bottom w:val="single" w:color="D8E0E4" w:sz="2"/>
              <w:right w:val="single" w:color="D8E0E4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D3143"/>
                <w:sz w:val="19"/>
                <w:szCs w:val="19"/>
              </w:rPr>
              <w:t xml:space="preserve">¿Qué pasa si un teléfono deja de funcionar?</w:t>
            </w:r>
          </w:p>
        </w:tc>
        <w:tc>
          <w:tcPr>
            <w:tcW w:type="pct" w:w="3100"/>
            <w:tcBorders>
              <w:top w:val="single" w:color="D8E0E4" w:sz="2"/>
              <w:left w:val="single" w:color="D8E0E4" w:sz="2"/>
              <w:bottom w:val="single" w:color="D8E0E4" w:sz="2"/>
              <w:right w:val="single" w:color="D8E0E4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D3143"/>
                <w:sz w:val="19"/>
                <w:szCs w:val="19"/>
              </w:rPr>
              <w:t xml:space="preserve">Cualquier persona puede reportarlo por correo, repositorio o en el stand. Comprometemos acuse en 24 horas hábiles, verificación en 48 y retirada inmediata el mismo día si no se confirma. Queda firmado en una bitácora con doble firma.</w:t>
            </w:r>
          </w:p>
        </w:tc>
      </w:tr>
      <w:tr>
        <w:tc>
          <w:tcPr>
            <w:tcW w:type="pct" w:w="1900"/>
            <w:tcBorders>
              <w:top w:val="single" w:color="D8E0E4" w:sz="2"/>
              <w:left w:val="single" w:color="D8E0E4" w:sz="2"/>
              <w:bottom w:val="single" w:color="D8E0E4" w:sz="2"/>
              <w:right w:val="single" w:color="D8E0E4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D3143"/>
                <w:sz w:val="19"/>
                <w:szCs w:val="19"/>
              </w:rPr>
              <w:t xml:space="preserve">¿Guardan datos de las personas?</w:t>
            </w:r>
          </w:p>
        </w:tc>
        <w:tc>
          <w:tcPr>
            <w:tcW w:type="pct" w:w="3100"/>
            <w:tcBorders>
              <w:top w:val="single" w:color="D8E0E4" w:sz="2"/>
              <w:left w:val="single" w:color="D8E0E4" w:sz="2"/>
              <w:bottom w:val="single" w:color="D8E0E4" w:sz="2"/>
              <w:right w:val="single" w:color="D8E0E4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D3143"/>
                <w:sz w:val="19"/>
                <w:szCs w:val="19"/>
              </w:rPr>
              <w:t xml:space="preserve">No. No hay cuentas, ni analítica, ni ubicación, ni almacenamiento. En «Al viento» lo que se escribe solo existe mientras se escribe: se borra de la memoria de la aplicación al ejecutar la animación y nunca viaja al servidor.</w:t>
            </w:r>
          </w:p>
        </w:tc>
      </w:tr>
      <w:tr>
        <w:tc>
          <w:tcPr>
            <w:tcW w:type="pct" w:w="1900"/>
            <w:tcBorders>
              <w:top w:val="single" w:color="D8E0E4" w:sz="2"/>
              <w:left w:val="single" w:color="D8E0E4" w:sz="2"/>
              <w:bottom w:val="single" w:color="D8E0E4" w:sz="2"/>
              <w:right w:val="single" w:color="D8E0E4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D3143"/>
                <w:sz w:val="19"/>
                <w:szCs w:val="19"/>
              </w:rPr>
              <w:t xml:space="preserve">¿Esto reemplaza a un profesional?</w:t>
            </w:r>
          </w:p>
        </w:tc>
        <w:tc>
          <w:tcPr>
            <w:tcW w:type="pct" w:w="3100"/>
            <w:tcBorders>
              <w:top w:val="single" w:color="D8E0E4" w:sz="2"/>
              <w:left w:val="single" w:color="D8E0E4" w:sz="2"/>
              <w:bottom w:val="single" w:color="D8E0E4" w:sz="2"/>
              <w:right w:val="single" w:color="D8E0E4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D3143"/>
                <w:sz w:val="19"/>
                <w:szCs w:val="19"/>
              </w:rPr>
              <w:t xml:space="preserve">No, y lo dice la interfaz de forma permanente. Acompaña, orienta y da contactos verificados. No diagnostica, no trata y no gestiona emergencias.</w:t>
            </w:r>
          </w:p>
        </w:tc>
      </w:tr>
      <w:tr>
        <w:tc>
          <w:tcPr>
            <w:tcW w:type="pct" w:w="1900"/>
            <w:tcBorders>
              <w:top w:val="single" w:color="D8E0E4" w:sz="2"/>
              <w:left w:val="single" w:color="D8E0E4" w:sz="2"/>
              <w:bottom w:val="single" w:color="D8E0E4" w:sz="2"/>
              <w:right w:val="single" w:color="D8E0E4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D3143"/>
                <w:sz w:val="19"/>
                <w:szCs w:val="19"/>
              </w:rPr>
              <w:t xml:space="preserve">¿Qué necesitan para operar?</w:t>
            </w:r>
          </w:p>
        </w:tc>
        <w:tc>
          <w:tcPr>
            <w:tcW w:type="pct" w:w="3100"/>
            <w:tcBorders>
              <w:top w:val="single" w:color="D8E0E4" w:sz="2"/>
              <w:left w:val="single" w:color="D8E0E4" w:sz="2"/>
              <w:bottom w:val="single" w:color="D8E0E4" w:sz="2"/>
              <w:right w:val="single" w:color="D8E0E4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D3143"/>
                <w:sz w:val="19"/>
                <w:szCs w:val="19"/>
              </w:rPr>
              <w:t xml:space="preserve">Tres cosas: validación institucional de la lista de líneas, un responsable de contenido con la doble firma del plan de operación, y una revisión cada 30 días. El código y el proceso ya están; faltan los dueños institucionales.</w:t>
            </w:r>
          </w:p>
        </w:tc>
      </w:tr>
    </w:tbl>
    <w:p>
      <w:pPr>
        <w:pStyle w:val="Heading1"/>
        <w:spacing w:after="150" w:before="340"/>
      </w:pPr>
      <w:r>
        <w:rPr>
          <w:rFonts w:ascii="Calibri" w:cs="Calibri" w:eastAsia="Calibri" w:hAnsi="Calibri"/>
          <w:b/>
          <w:bCs/>
          <w:color w:val="0D3143"/>
          <w:sz w:val="30"/>
          <w:szCs w:val="30"/>
        </w:rPr>
        <w:t xml:space="preserve">Cifras que sí se pueden afirmar</w:t>
      </w:r>
    </w:p>
    <w:p>
      <w:pPr>
        <w:spacing w:after="140" w:line="300"/>
      </w:pPr>
      <w:r>
        <w:rPr>
          <w:rFonts w:ascii="Calibri" w:cs="Calibri" w:eastAsia="Calibri" w:hAnsi="Calibri"/>
          <w:i/>
          <w:iCs/>
          <w:color w:val="5B7080"/>
        </w:rPr>
        <w:t xml:space="preserve">Todas verificables en el repositorio. Ninguna redondeada a la fuerza.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"/>
        <w:gridCol w:w="66"/>
      </w:tblGrid>
      <w:tr>
        <w:trPr>
          <w:tblHeader/>
        </w:trPr>
        <w:tc>
          <w:tcPr>
            <w:tcW w:type="pct" w:w="1700"/>
            <w:tcBorders>
              <w:top w:val="single" w:color="D8E0E4" w:sz="2"/>
              <w:left w:val="single" w:color="D8E0E4" w:sz="2"/>
              <w:bottom w:val="single" w:color="D8E0E4" w:sz="2"/>
              <w:right w:val="single" w:color="D8E0E4" w:sz="2"/>
            </w:tcBorders>
            <w:shd w:fill="0D3143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Cifra</w:t>
            </w:r>
          </w:p>
        </w:tc>
        <w:tc>
          <w:tcPr>
            <w:tcW w:type="pct" w:w="3300"/>
            <w:tcBorders>
              <w:top w:val="single" w:color="D8E0E4" w:sz="2"/>
              <w:left w:val="single" w:color="D8E0E4" w:sz="2"/>
              <w:bottom w:val="single" w:color="D8E0E4" w:sz="2"/>
              <w:right w:val="single" w:color="D8E0E4" w:sz="2"/>
            </w:tcBorders>
            <w:shd w:fill="0D3143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respalda</w:t>
            </w:r>
          </w:p>
        </w:tc>
      </w:tr>
      <w:tr>
        <w:tc>
          <w:tcPr>
            <w:tcW w:type="pct" w:w="1700"/>
            <w:tcBorders>
              <w:top w:val="single" w:color="D8E0E4" w:sz="2"/>
              <w:left w:val="single" w:color="D8E0E4" w:sz="2"/>
              <w:bottom w:val="single" w:color="D8E0E4" w:sz="2"/>
              <w:right w:val="single" w:color="D8E0E4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D3143"/>
                <w:sz w:val="19"/>
                <w:szCs w:val="19"/>
              </w:rPr>
              <w:t xml:space="preserve">72 pruebas automatizadas, 0 fallos</w:t>
            </w:r>
          </w:p>
        </w:tc>
        <w:tc>
          <w:tcPr>
            <w:tcW w:type="pct" w:w="3300"/>
            <w:tcBorders>
              <w:top w:val="single" w:color="D8E0E4" w:sz="2"/>
              <w:left w:val="single" w:color="D8E0E4" w:sz="2"/>
              <w:bottom w:val="single" w:color="D8E0E4" w:sz="2"/>
              <w:right w:val="single" w:color="D8E0E4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D3143"/>
                <w:sz w:val="19"/>
                <w:szCs w:val="19"/>
              </w:rPr>
              <w:t xml:space="preserve">44 de datos y API (Node) + 28 de interfaz (Vitest + Testing Library). Registro en PRUEBAS.md</w:t>
            </w:r>
          </w:p>
        </w:tc>
      </w:tr>
      <w:tr>
        <w:tc>
          <w:tcPr>
            <w:tcW w:type="pct" w:w="1700"/>
            <w:tcBorders>
              <w:top w:val="single" w:color="D8E0E4" w:sz="2"/>
              <w:left w:val="single" w:color="D8E0E4" w:sz="2"/>
              <w:bottom w:val="single" w:color="D8E0E4" w:sz="2"/>
              <w:right w:val="single" w:color="D8E0E4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D3143"/>
                <w:sz w:val="19"/>
                <w:szCs w:val="19"/>
              </w:rPr>
              <w:t xml:space="preserve">0 vulnerabilidades</w:t>
            </w:r>
          </w:p>
        </w:tc>
        <w:tc>
          <w:tcPr>
            <w:tcW w:type="pct" w:w="3300"/>
            <w:tcBorders>
              <w:top w:val="single" w:color="D8E0E4" w:sz="2"/>
              <w:left w:val="single" w:color="D8E0E4" w:sz="2"/>
              <w:bottom w:val="single" w:color="D8E0E4" w:sz="2"/>
              <w:right w:val="single" w:color="D8E0E4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D3143"/>
                <w:sz w:val="19"/>
                <w:szCs w:val="19"/>
              </w:rPr>
              <w:t xml:space="preserve">Salida de npm audit sobre el árbol completo de dependencias</w:t>
            </w:r>
          </w:p>
        </w:tc>
      </w:tr>
      <w:tr>
        <w:tc>
          <w:tcPr>
            <w:tcW w:type="pct" w:w="1700"/>
            <w:tcBorders>
              <w:top w:val="single" w:color="D8E0E4" w:sz="2"/>
              <w:left w:val="single" w:color="D8E0E4" w:sz="2"/>
              <w:bottom w:val="single" w:color="D8E0E4" w:sz="2"/>
              <w:right w:val="single" w:color="D8E0E4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D3143"/>
                <w:sz w:val="19"/>
                <w:szCs w:val="19"/>
              </w:rPr>
              <w:t xml:space="preserve">207 dependencias con licencia declarada</w:t>
            </w:r>
          </w:p>
        </w:tc>
        <w:tc>
          <w:tcPr>
            <w:tcW w:type="pct" w:w="3300"/>
            <w:tcBorders>
              <w:top w:val="single" w:color="D8E0E4" w:sz="2"/>
              <w:left w:val="single" w:color="D8E0E4" w:sz="2"/>
              <w:bottom w:val="single" w:color="D8E0E4" w:sz="2"/>
              <w:right w:val="single" w:color="D8E0E4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D3143"/>
                <w:sz w:val="19"/>
                <w:szCs w:val="19"/>
              </w:rPr>
              <w:t xml:space="preserve">69 de backend + 138 de frontend. Cero sin declarar</w:t>
            </w:r>
          </w:p>
        </w:tc>
      </w:tr>
      <w:tr>
        <w:tc>
          <w:tcPr>
            <w:tcW w:type="pct" w:w="1700"/>
            <w:tcBorders>
              <w:top w:val="single" w:color="D8E0E4" w:sz="2"/>
              <w:left w:val="single" w:color="D8E0E4" w:sz="2"/>
              <w:bottom w:val="single" w:color="D8E0E4" w:sz="2"/>
              <w:right w:val="single" w:color="D8E0E4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D3143"/>
                <w:sz w:val="19"/>
                <w:szCs w:val="19"/>
              </w:rPr>
              <w:t xml:space="preserve">0 archivos binarios de terceros</w:t>
            </w:r>
          </w:p>
        </w:tc>
        <w:tc>
          <w:tcPr>
            <w:tcW w:type="pct" w:w="3300"/>
            <w:tcBorders>
              <w:top w:val="single" w:color="D8E0E4" w:sz="2"/>
              <w:left w:val="single" w:color="D8E0E4" w:sz="2"/>
              <w:bottom w:val="single" w:color="D8E0E4" w:sz="2"/>
              <w:right w:val="single" w:color="D8E0E4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D3143"/>
                <w:sz w:val="19"/>
                <w:szCs w:val="19"/>
              </w:rPr>
              <w:t xml:space="preserve">Iconos e ilustraciones son SVG propios del proyecto</w:t>
            </w:r>
          </w:p>
        </w:tc>
      </w:tr>
      <w:tr>
        <w:tc>
          <w:tcPr>
            <w:tcW w:type="pct" w:w="1700"/>
            <w:tcBorders>
              <w:top w:val="single" w:color="D8E0E4" w:sz="2"/>
              <w:left w:val="single" w:color="D8E0E4" w:sz="2"/>
              <w:bottom w:val="single" w:color="D8E0E4" w:sz="2"/>
              <w:right w:val="single" w:color="D8E0E4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D3143"/>
                <w:sz w:val="19"/>
                <w:szCs w:val="19"/>
              </w:rPr>
              <w:t xml:space="preserve">4 líneas y 3 centros verificados</w:t>
            </w:r>
          </w:p>
        </w:tc>
        <w:tc>
          <w:tcPr>
            <w:tcW w:type="pct" w:w="3300"/>
            <w:tcBorders>
              <w:top w:val="single" w:color="D8E0E4" w:sz="2"/>
              <w:left w:val="single" w:color="D8E0E4" w:sz="2"/>
              <w:bottom w:val="single" w:color="D8E0E4" w:sz="2"/>
              <w:right w:val="single" w:color="D8E0E4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D3143"/>
                <w:sz w:val="19"/>
                <w:szCs w:val="19"/>
              </w:rPr>
              <w:t xml:space="preserve">Fuente oficial + fecha de consulta visible en cada ficha</w:t>
            </w:r>
          </w:p>
        </w:tc>
      </w:tr>
      <w:tr>
        <w:tc>
          <w:tcPr>
            <w:tcW w:type="pct" w:w="1700"/>
            <w:tcBorders>
              <w:top w:val="single" w:color="D8E0E4" w:sz="2"/>
              <w:left w:val="single" w:color="D8E0E4" w:sz="2"/>
              <w:bottom w:val="single" w:color="D8E0E4" w:sz="2"/>
              <w:right w:val="single" w:color="D8E0E4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D3143"/>
                <w:sz w:val="19"/>
                <w:szCs w:val="19"/>
              </w:rPr>
              <w:t xml:space="preserve">105 actividades de bienestar</w:t>
            </w:r>
          </w:p>
        </w:tc>
        <w:tc>
          <w:tcPr>
            <w:tcW w:type="pct" w:w="3300"/>
            <w:tcBorders>
              <w:top w:val="single" w:color="D8E0E4" w:sz="2"/>
              <w:left w:val="single" w:color="D8E0E4" w:sz="2"/>
              <w:bottom w:val="single" w:color="D8E0E4" w:sz="2"/>
              <w:right w:val="single" w:color="D8E0E4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D3143"/>
                <w:sz w:val="19"/>
                <w:szCs w:val="19"/>
              </w:rPr>
              <w:t xml:space="preserve">Módulo Regálate momentos</w:t>
            </w:r>
          </w:p>
        </w:tc>
      </w:tr>
      <w:tr>
        <w:tc>
          <w:tcPr>
            <w:tcW w:type="pct" w:w="1700"/>
            <w:tcBorders>
              <w:top w:val="single" w:color="D8E0E4" w:sz="2"/>
              <w:left w:val="single" w:color="D8E0E4" w:sz="2"/>
              <w:bottom w:val="single" w:color="D8E0E4" w:sz="2"/>
              <w:right w:val="single" w:color="D8E0E4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D3143"/>
                <w:sz w:val="19"/>
                <w:szCs w:val="19"/>
              </w:rPr>
              <w:t xml:space="preserve">Última verificación: octubre 2026</w:t>
            </w:r>
          </w:p>
        </w:tc>
        <w:tc>
          <w:tcPr>
            <w:tcW w:type="pct" w:w="3300"/>
            <w:tcBorders>
              <w:top w:val="single" w:color="D8E0E4" w:sz="2"/>
              <w:left w:val="single" w:color="D8E0E4" w:sz="2"/>
              <w:bottom w:val="single" w:color="D8E0E4" w:sz="2"/>
              <w:right w:val="single" w:color="D8E0E4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D3143"/>
                <w:sz w:val="19"/>
                <w:szCs w:val="19"/>
              </w:rPr>
              <w:t xml:space="preserve">Fecha que aparece en pantalla junto a cada dato</w:t>
            </w:r>
          </w:p>
        </w:tc>
      </w:tr>
    </w:tbl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Ruta Clara Meta — Pitch de 5 minutos</dc:title>
  <dc:creator>Equipo Ruta Clara Meta</dc:creator>
  <dc:description>Guion hablado y guía de preguntas para la presentación del prototipo.</dc:description>
  <cp:lastModifiedBy>Un-named</cp:lastModifiedBy>
  <cp:revision>1</cp:revision>
  <dcterms:created xsi:type="dcterms:W3CDTF">2026-10-22T20:20:20.114Z</dcterms:created>
  <dcterms:modified xsi:type="dcterms:W3CDTF">2026-10-22T20:20:20.117Z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