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Лабораторная работа №2</w:t>
      </w:r>
    </w:p>
    <w:p w:rsidR="00000000" w:rsidDel="00000000" w:rsidP="00000000" w:rsidRDefault="00000000" w:rsidRPr="00000000" w14:paraId="0000000C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Камера и освещение</w:t>
      </w:r>
    </w:p>
    <w:p w:rsidR="00000000" w:rsidDel="00000000" w:rsidP="00000000" w:rsidRDefault="00000000" w:rsidRPr="00000000" w14:paraId="00000011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 w:before="0" w:after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Выполнил: Андрианов А.Е.</w:t>
      </w:r>
    </w:p>
    <w:p w:rsidR="00000000" w:rsidDel="00000000" w:rsidP="00000000" w:rsidRDefault="00000000" w:rsidRPr="00000000" w14:paraId="0000001B">
      <w:pPr>
        <w:spacing w:line="240" w:lineRule="auto" w:before="0" w:after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Группа: М8О-312БВ-24</w:t>
      </w:r>
    </w:p>
    <w:p w:rsidR="00000000" w:rsidDel="00000000" w:rsidP="00000000" w:rsidRDefault="00000000" w:rsidRPr="00000000" w14:paraId="0000001C">
      <w:pPr>
        <w:spacing w:line="240" w:lineRule="auto" w:before="0" w:after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Преподаватель: Шангин Даниил Денисович</w:t>
      </w:r>
    </w:p>
    <w:p w:rsidR="00000000" w:rsidDel="00000000" w:rsidP="00000000" w:rsidRDefault="00000000" w:rsidRPr="00000000" w14:paraId="0000001D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 w:before="0" w:after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 w:before="0" w:after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</w:rPr>
        <w:t>Москва, 2026</w:t>
      </w:r>
    </w:p>
    <w:p>
      <w:pPr>
        <w:keepNext/>
        <w:pageBreakBefore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Условие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— реализовать управляемую камеру и динамическое освещение по модели Блинна–Фонга с несколькими типами источников света. Использовать Vulkan, GLFW и ImGui, сохранив объект предыдущей лабораторной работы.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объекта — 2, правильный октаэдр. Параметры камеры, направленного источника, фонового освещения и материалов должны изменяться через интерфейс. Нормали вершин требуется генерировать процедурно, освещение вычислять во фрагментном шейдере.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Выполнены четыре дополнительных задания: раздельные наборы дескрипторов сцены и модели; динамический массив точечных источников в storage buffer; массив прожекторов с мягкими краями; визуализация источников и конусов с возможностью скрытия. Для точечного и прожекторного света учитывается затухание по закону обратных квадратов.</w:t>
      </w:r>
    </w:p>
    <w:p>
      <w:pPr>
        <w:keepNext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Метод решения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Камера. </w:t>
      </w:r>
      <w:r>
        <w:rPr>
          <w:rFonts w:ascii="Times New Roman" w:hAnsi="Times New Roman" w:eastAsia="Times New Roman"/>
          <w:b w:val="0"/>
          <w:sz w:val="28"/>
        </w:rPr>
        <w:t>Положение камеры задаётся тремя координатами, ориентация — углами pitch, yaw и roll. Матрица вида является обратной матрице преобразования камеры: V = Rz(−roll) · Rx(−pitch) · Ry(−yaw) · T(−position). Итоговое преобразование вершины имеет вид pclip = P · V · M · plocal. Реализованы изменение угла обзора, две проекции, движение с клавиатуры и поворот мышью.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Процедурные нормали. </w:t>
      </w:r>
      <w:r>
        <w:rPr>
          <w:rFonts w:ascii="Times New Roman" w:hAnsi="Times New Roman" w:eastAsia="Times New Roman"/>
          <w:b w:val="0"/>
          <w:sz w:val="28"/>
        </w:rPr>
        <w:t>Для треугольника с вершинами a, b, c нормаль вычисляется как N = normalize((b − a) × (c − a)). Одна геометрическая точка повторяется для разных граней: октаэдр представлен 24 записями вершин с отдельными нормалями граней. В vertex shader нормаль преобразуется матрицей transpose(inverse(mat3(M))), что сохраняет её перпендикулярность поверхности при неравномерном масштабе.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Материал. </w:t>
      </w:r>
      <w:r>
        <w:rPr>
          <w:rFonts w:ascii="Times New Roman" w:hAnsi="Times New Roman" w:eastAsia="Times New Roman"/>
          <w:b w:val="0"/>
          <w:sz w:val="28"/>
        </w:rPr>
        <w:t>Для каждой модели задаются альбедо, цвет зеркального блика и показатель shininess. Сохранены трансформации, анимация и необязательная процедурная окраска из первой работы; дополнительно создан пол для наглядного наблюдения световых пятен.</w:t>
      </w:r>
    </w:p>
    <w:p>
      <w:pPr>
        <w:keepNext/>
        <w:pageBreakBefore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Метод решения (продолжение)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Модель Блинна–Фонга. </w:t>
      </w:r>
      <w:r>
        <w:rPr>
          <w:rFonts w:ascii="Times New Roman" w:hAnsi="Times New Roman" w:eastAsia="Times New Roman"/>
          <w:b w:val="0"/>
          <w:sz w:val="28"/>
        </w:rPr>
        <w:t>Расчёт выполняется в мировых координатах. N — единичная нормаль, L — направление к источнику, V — направление к камере; H = normalize(L + V). Диффузный коэффициент равен max(N · L, 0), зеркальный — max(N · H, 0)ˢ, где s — shininess. Фоновая составляющая умножает альбедо на цвет и интенсивность ambient. Вклады всех включённых источников суммируются; блик обратной стороны исключается.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Точечный свет и прожекторы. </w:t>
      </w:r>
      <w:r>
        <w:rPr>
          <w:rFonts w:ascii="Times New Roman" w:hAnsi="Times New Roman" w:eastAsia="Times New Roman"/>
          <w:b w:val="0"/>
          <w:sz w:val="28"/>
        </w:rPr>
        <w:t>Направленный свет имеет постоянное направление и не затухает с расстоянием. Для точечного источника L рассчитывается по его позиции, а вклад умножается на intensity / max(r², 0,01). Прожектор дополнительно использует угол от своей оси: внутри внутреннего конуса свет полный, за внешним отсутствует, между ними коэффициент плавно изменяется по функции t²(3 − 2t). При совпадающих углах применяется жёсткая граница без деления на ноль.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Дескрипторы и синхронизация. </w:t>
      </w:r>
      <w:r>
        <w:rPr>
          <w:rFonts w:ascii="Times New Roman" w:hAnsi="Times New Roman" w:eastAsia="Times New Roman"/>
          <w:b w:val="0"/>
          <w:sz w:val="28"/>
        </w:rPr>
        <w:t>Набор set 0 содержит UBO сцены с view-projection, положением камеры и общим светом, а также два SSBO с массивами точечных источников и прожекторов. Набор set 1 содержит матрицу и материал модели. Размеры массивов в GLSL не фиксированы; при росте данных CPU увеличивает буферы с учётом лимитов устройства. Запись и замена ресурсов выполняются после ожидания fence предыдущего кадра.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</w:r>
      <w:r>
        <w:rPr>
          <w:rFonts w:ascii="Times New Roman" w:hAnsi="Times New Roman" w:eastAsia="Times New Roman"/>
          <w:b/>
          <w:sz w:val="28"/>
        </w:rPr>
        <w:t xml:space="preserve">Визуализация источников. </w:t>
      </w:r>
      <w:r>
        <w:rPr>
          <w:rFonts w:ascii="Times New Roman" w:hAnsi="Times New Roman" w:eastAsia="Times New Roman"/>
          <w:b w:val="0"/>
          <w:sz w:val="28"/>
        </w:rPr>
        <w:t>Позиции точечных источников и прожекторов обозначаются яркими кубиками. Ось и два конуса прожектора строятся процедурно и рисуются отдельным pipeline с топологией LINE_LIST. Матрица и постоянный цвет передаются через push constants. Специальная ветка шейдера исключает освещение маркеров; скрытие маркеров не отключает сами источники.</w:t>
      </w:r>
    </w:p>
    <w:p>
      <w:pPr>
        <w:keepNext/>
        <w:pageBreakBefore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Результаты</w:t>
      </w:r>
    </w:p>
    <w:p>
      <w:pPr>
        <w:keepNext/>
        <w:widowControl/>
        <w:spacing w:line="276" w:lineRule="auto" w:before="0" w:after="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  <w:r>
        <w:drawing>
          <wp:inline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Освещение октаэдров направленным источником. Ориентация граней определяет диффузную составляющую; параметры камеры, света и материала доступны в панели.</w:t>
      </w:r>
    </w:p>
    <w:p>
      <w:pPr>
        <w:keepNext/>
        <w:widowControl/>
        <w:spacing w:line="276" w:lineRule="auto" w:before="0" w:after="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  <w:r>
        <w:drawing>
          <wp:inline>
            <wp:extent cx="5616000" cy="42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Прожектор с мягкой границей светового пятна на полу. Яркость зависит от расстояния до источника и отклонения направления от оси конуса.</w:t>
      </w:r>
    </w:p>
    <w:p>
      <w:pPr>
        <w:keepNext/>
        <w:pageBreakBefore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Результаты (продолжение)</w:t>
      </w:r>
    </w:p>
    <w:p>
      <w:pPr>
        <w:keepNext/>
        <w:widowControl/>
        <w:spacing w:line="276" w:lineRule="auto" w:before="0" w:after="4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</w:r>
      <w:r>
        <w:drawing>
          <wp:inline>
            <wp:extent cx="5616000" cy="315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— Совместная работа источников. Кубики показывают их позиции, белые линии — ось и внутренний/внешний конусы прожектора. Маркеры имеют постоянный цвет.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Получена интерактивная сцена с тремя октаэдрами, полом, управляемой камерой и тремя типами света. Реализовано добавление и удаление источников, редактирование материалов и переключение визуализации. Проверочный сценарий включает пустые и растущие массивы SSBO, изменение проекции и размера окна. Расчёт теней от объектов в требования работы не входит и не реализован.</w:t>
      </w:r>
    </w:p>
    <w:p>
      <w:pPr>
        <w:keepNext/>
        <w:widowControl/>
        <w:spacing w:line="276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Выводы</w:t>
      </w:r>
    </w:p>
    <w:p>
      <w:pPr>
        <w:keepNext w:val="0"/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Освоены построение матрицы вида, генерация и преобразование нормалей, расчёт фоновой, диффузной и зеркальной составляющих по модели Блинна–Фонга. Реализованы затухание света, мягкие границы прожекторов и разделение общих данных сцены и параметров моделей. Математические проверки охватывают камеру, нормали и углы конуса; восемь сценариев GPU-проверки подтвердили отрисовку сцены без сообщений об ошибках Vulkan, включая проверку синхронизации.</w:t>
      </w:r>
    </w:p>
    <w:sectPr>
      <w:footerReference w:type="default" r:id="rId6"/>
      <w:pgSz w:h="16834" w:w="11909" w:orient="portrait"/>
      <w:pgMar w:bottom="1440" w:top="1440" w:left="1440" w:right="1440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№2. Камера и освещение</dc:title>
  <cp:lastModifiedBy>python-docx</cp:lastModifiedBy>
  <cp:revision>1</cp:revision>
  <dcterms:modified xsi:type="dcterms:W3CDTF">2026-10-25T16:07:31Z</dcterms:modified>
  <dc:creator>Андрианов А.Е.</dc:creator>
  <dc:subject>Компьютерная графика, вариант 2</dc:subject>
</cp:coreProperties>
</file>