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Hardcoding Issues - Part 1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Hardcoding Issues - Part 1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contains hard coded credentials in its source code, which poses a significant security risk. Hardcoding credentials makes it easier for attackers to discover and abuse these credentials, leading to potential unauthorised access or other malicious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Attackers can use the hardcoded credentials to gain unauthorised access to sensitive parts of the application.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Exposure: Hardcoded credentials are easily extractable, exposing sensitive information to potential compromise.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Compromise: If discovered, hardcoded credentials can lead to a complete compromise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“Hardcoding Issues - Part 1” option.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‘HardcodeActivity’ file and open it.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code equates the key entered in the application with a “vendorsecretkey”, which indicates that this is the required vendor key.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enter this key in the application.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accepts the key and displays “Access granted! See you on the other side :)”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2963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96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Credential Management Systems: Implement secure credential storage solutions or services provided by the platform or framework.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Externalize Configuration: Store sensitive information, such as credentials, in external configuration files or environment variables.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Secrets Management: Leverage dedicated secrets management tools to securely store and retrieve sensitive data.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Code Audits: Conduct regular code reviews to identify and remove hardcoded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CWE-798: Use of Hard-coded Credentials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CWE-256: Unprotected Storage of Credentials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