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071E" w14:textId="080AD48C" w:rsidR="001E11AA" w:rsidRDefault="006C7524">
      <w:pPr>
        <w:pStyle w:val="Heading1"/>
      </w:pPr>
      <w:r>
        <w:t>SME Credit Scoring AI Platform – Case Study Analysis</w:t>
      </w:r>
      <w:r w:rsidR="00930621">
        <w:br/>
        <w:t xml:space="preserve">Link: </w:t>
      </w:r>
      <w:r w:rsidR="00930621" w:rsidRPr="00930621">
        <w:t>https://smedashboard.netlify.app/</w:t>
      </w:r>
    </w:p>
    <w:p w14:paraId="761AC52A" w14:textId="77777777" w:rsidR="001E11AA" w:rsidRDefault="006C7524">
      <w:pPr>
        <w:pStyle w:val="Heading2"/>
      </w:pPr>
      <w:r>
        <w:t>1. Business and Financial Analysis</w:t>
      </w:r>
    </w:p>
    <w:p w14:paraId="7C0AD018" w14:textId="77777777" w:rsidR="001E11AA" w:rsidRDefault="006C7524">
      <w:r>
        <w:t>Total Annual Revenue:</w:t>
      </w:r>
      <w:r>
        <w:br/>
        <w:t>20 financial institutions × 2,000 applications each = 40,000 applications per year.</w:t>
      </w:r>
      <w:r>
        <w:br/>
        <w:t>Each credit assessment costs ₹500.</w:t>
      </w:r>
      <w:r>
        <w:br/>
        <w:t>Total Revenue = 40,000 × 500 = ₹2,00,00,000 (₹2 Crores).</w:t>
      </w:r>
    </w:p>
    <w:p w14:paraId="45DE21E1" w14:textId="77777777" w:rsidR="001E11AA" w:rsidRDefault="006C7524">
      <w:r>
        <w:t>Net Benefit:</w:t>
      </w:r>
      <w:r>
        <w:br/>
        <w:t>Revenue = ₹2,00,00,000</w:t>
      </w:r>
      <w:r>
        <w:br/>
        <w:t>Operational Cost = ₹1,20,00,000</w:t>
      </w:r>
      <w:r>
        <w:br/>
        <w:t>Initial Investment = ₹3,50,00,000</w:t>
      </w:r>
      <w:r>
        <w:br/>
        <w:t>Net Benefit = Revenue – Operational Cost – Initial Investment</w:t>
      </w:r>
      <w:r>
        <w:br/>
        <w:t>Net Benefit = 2,00,00,000 – 1,20,00,000 – 3,50,00,000 = –₹2,70,00,000.</w:t>
      </w:r>
    </w:p>
    <w:p w14:paraId="75C683A3" w14:textId="77777777" w:rsidR="001E11AA" w:rsidRDefault="006C7524">
      <w:pPr>
        <w:pStyle w:val="Heading2"/>
      </w:pPr>
      <w:r>
        <w:t>2. Technical and Data Analysis</w:t>
      </w:r>
    </w:p>
    <w:p w14:paraId="5BB4E851" w14:textId="77777777" w:rsidR="001E11AA" w:rsidRDefault="006C7524">
      <w:r>
        <w:t>Important SME financial variables include business revenue, transaction volume, cash flow stability, GST returns, UPI transaction history, bank transaction patterns, repayment history, and seasonal revenue patterns. These variables help AI models evaluate the financial health and repayment ability of SMEs.</w:t>
      </w:r>
    </w:p>
    <w:p w14:paraId="46415F0A" w14:textId="77777777" w:rsidR="001E11AA" w:rsidRDefault="006C7524">
      <w:r>
        <w:t>Synthetic data can be generated using Python libraries such as NumPy and Pandas to simulate revenue, transactions, and repayment behaviour for model training.</w:t>
      </w:r>
    </w:p>
    <w:p w14:paraId="54E7E6E3" w14:textId="77777777" w:rsidR="001E11AA" w:rsidRDefault="006C7524">
      <w:pPr>
        <w:pStyle w:val="Heading2"/>
      </w:pPr>
      <w:r>
        <w:t>3. CRM and Business Impact</w:t>
      </w:r>
    </w:p>
    <w:p w14:paraId="5F916DA7" w14:textId="77777777" w:rsidR="001E11AA" w:rsidRDefault="006C7524">
      <w:r>
        <w:t>High model accuracy reduces loan defaults, fraud detection protects financial institutions, and faster approvals improve SME satisfaction. These factors increase client retention and long‑term business growth.</w:t>
      </w:r>
    </w:p>
    <w:p w14:paraId="69287BAD" w14:textId="77777777" w:rsidR="001E11AA" w:rsidRDefault="006C7524">
      <w:pPr>
        <w:pStyle w:val="Heading2"/>
      </w:pPr>
      <w:r>
        <w:t>4. Recommendation</w:t>
      </w:r>
    </w:p>
    <w:p w14:paraId="511D9E26" w14:textId="77777777" w:rsidR="001E11AA" w:rsidRDefault="006C7524">
      <w:r>
        <w:t>Although the first year shows a negative net benefit due to initial investment, the platform has strong long‑term potential as recurring revenue grows and more financial institutions adopt the system.</w:t>
      </w:r>
    </w:p>
    <w:sectPr w:rsidR="001E11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8948876">
    <w:abstractNumId w:val="8"/>
  </w:num>
  <w:num w:numId="2" w16cid:durableId="1454717141">
    <w:abstractNumId w:val="6"/>
  </w:num>
  <w:num w:numId="3" w16cid:durableId="1820271549">
    <w:abstractNumId w:val="5"/>
  </w:num>
  <w:num w:numId="4" w16cid:durableId="969747009">
    <w:abstractNumId w:val="4"/>
  </w:num>
  <w:num w:numId="5" w16cid:durableId="1979262282">
    <w:abstractNumId w:val="7"/>
  </w:num>
  <w:num w:numId="6" w16cid:durableId="1496650706">
    <w:abstractNumId w:val="3"/>
  </w:num>
  <w:num w:numId="7" w16cid:durableId="2067072179">
    <w:abstractNumId w:val="2"/>
  </w:num>
  <w:num w:numId="8" w16cid:durableId="504981720">
    <w:abstractNumId w:val="1"/>
  </w:num>
  <w:num w:numId="9" w16cid:durableId="100416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1AA"/>
    <w:rsid w:val="0029639D"/>
    <w:rsid w:val="00326F90"/>
    <w:rsid w:val="003733F1"/>
    <w:rsid w:val="005C118C"/>
    <w:rsid w:val="006C7524"/>
    <w:rsid w:val="009117DA"/>
    <w:rsid w:val="0093062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045E84"/>
  <w14:defaultImageDpi w14:val="300"/>
  <w15:docId w15:val="{EAF507AE-FAB6-044D-9E0C-21E3DEB4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209</Words>
  <Characters>1306</Characters>
  <Application>Microsoft Office Word</Application>
  <DocSecurity>0</DocSecurity>
  <Lines>29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Armaan Mulani</cp:lastModifiedBy>
  <cp:revision>3</cp:revision>
  <dcterms:created xsi:type="dcterms:W3CDTF">2013-12-23T23:15:00Z</dcterms:created>
  <dcterms:modified xsi:type="dcterms:W3CDTF">2026-03-10T10:53:00Z</dcterms:modified>
  <cp:category/>
</cp:coreProperties>
</file>