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25"/>
      </w:tblGrid>
      <w:tr>
        <w:trPr>
          <w:trHeight w:val="115"/>
        </w:trPr>
        <w:tc>
          <w:tcPr>
            <w:tcW w:type="dxa" w:w="10325"/>
            <w:shd w:fill="147D7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keepNext/>
        <w:spacing w:before="160" w:after="20"/>
      </w:pPr>
      <w:r>
        <w:rPr>
          <w:rFonts w:ascii="Aptos Display" w:hAnsi="Aptos Display"/>
          <w:b/>
          <w:color w:val="14213D"/>
          <w:sz w:val="46"/>
        </w:rPr>
        <w:t>OPPORTUNITY INTELLIGENCE &amp;</w:t>
        <w:br/>
        <w:t>EVIDENCE-ASSISTED PROPOSAL PLATFORM</w:t>
      </w:r>
    </w:p>
    <w:p>
      <w:pPr>
        <w:spacing w:after="140"/>
      </w:pPr>
      <w:r>
        <w:rPr>
          <w:rFonts w:ascii="Aptos" w:hAnsi="Aptos"/>
          <w:b/>
          <w:color w:val="147D78"/>
          <w:sz w:val="17"/>
        </w:rPr>
        <w:t>CONFIDENTIAL CLIENT ENGAGEMENT  /  PORTFOLIO CASE STUDY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25"/>
      </w:tblGrid>
      <w:tr>
        <w:tc>
          <w:tcPr>
            <w:tcW w:type="dxa" w:w="10325"/>
            <w:shd w:fill="EAF5F4"/>
            <w:tcMar>
              <w:top w:w="110" w:type="dxa"/>
              <w:start w:w="150" w:type="dxa"/>
              <w:bottom w:w="110" w:type="dxa"/>
              <w:end w:w="150" w:type="dxa"/>
            </w:tcMar>
          </w:tcPr>
          <w:p/>
          <w:p>
            <w:pPr>
              <w:spacing w:before="0" w:after="0" w:line="259" w:lineRule="auto"/>
            </w:pPr>
            <w:r>
              <w:rPr>
                <w:rFonts w:ascii="Aptos" w:hAnsi="Aptos"/>
                <w:b/>
                <w:color w:val="14213D"/>
                <w:sz w:val="20"/>
              </w:rPr>
              <w:t>I led the architecture and AI-assisted delivery of a two-tool workflow that connects public opportunity discovery with evidence-assisted proposal preparation—while keeping data contracts, failure states and human review explicit.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147D78"/>
          <w:sz w:val="18"/>
        </w:rPr>
        <w:t>DELIVERED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65"/>
        <w:gridCol w:w="2065"/>
        <w:gridCol w:w="2065"/>
        <w:gridCol w:w="2065"/>
        <w:gridCol w:w="2065"/>
      </w:tblGrid>
      <w:tr>
        <w:tc>
          <w:tcPr>
            <w:tcW w:type="dxa" w:w="2045"/>
            <w:vAlign w:val="center"/>
            <w:shd w:fill="14213D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2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01  Discover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FFFFFF"/>
                <w:sz w:val="15"/>
              </w:rPr>
              <w:t>Multi-source opportunity collection</w:t>
            </w:r>
          </w:p>
        </w:tc>
        <w:tc>
          <w:tcPr>
            <w:tcW w:type="dxa" w:w="2045"/>
            <w:vAlign w:val="center"/>
            <w:shd w:fill="147D7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2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02  Qualify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FFFFFF"/>
                <w:sz w:val="15"/>
              </w:rPr>
              <w:t>Bilingual matching and transparent reasons</w:t>
            </w:r>
          </w:p>
        </w:tc>
        <w:tc>
          <w:tcPr>
            <w:tcW w:type="dxa" w:w="2045"/>
            <w:vAlign w:val="center"/>
            <w:shd w:fill="14213D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2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03  Review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FFFFFF"/>
                <w:sz w:val="15"/>
              </w:rPr>
              <w:t>ToR extraction and requirement checks</w:t>
            </w:r>
          </w:p>
        </w:tc>
        <w:tc>
          <w:tcPr>
            <w:tcW w:type="dxa" w:w="2045"/>
            <w:vAlign w:val="center"/>
            <w:shd w:fill="147D7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2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04  Retrieve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FFFFFF"/>
                <w:sz w:val="15"/>
              </w:rPr>
              <w:t>Searchable capability evidence</w:t>
            </w:r>
          </w:p>
        </w:tc>
        <w:tc>
          <w:tcPr>
            <w:tcW w:type="dxa" w:w="2045"/>
            <w:vAlign w:val="center"/>
            <w:shd w:fill="14213D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after="2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05  Draft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FFFFFF"/>
                <w:sz w:val="15"/>
              </w:rPr>
              <w:t>Human-reviewed DOCX output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62"/>
        <w:gridCol w:w="5162"/>
      </w:tblGrid>
      <w:tr>
        <w:tc>
          <w:tcPr>
            <w:tcW w:type="dxa" w:w="6408"/>
            <w:vAlign w:val="top"/>
            <w:tcMar>
              <w:top w:w="40" w:type="dxa"/>
              <w:start w:w="0" w:type="dxa"/>
              <w:bottom w:w="0" w:type="dxa"/>
              <w:end w:w="130" w:type="dxa"/>
            </w:tcMar>
          </w:tcPr>
          <w:p/>
          <w:p>
            <w:pPr>
              <w:keepNext/>
              <w:spacing w:before="140" w:after="60"/>
            </w:pPr>
            <w:r>
              <w:rPr>
                <w:rFonts w:ascii="Aptos Display" w:hAnsi="Aptos Display"/>
                <w:b/>
                <w:color w:val="147D78"/>
                <w:sz w:val="18"/>
              </w:rPr>
              <w:t>THE PROBLEM</w:t>
            </w:r>
          </w:p>
          <w:p>
            <w:pPr>
              <w:spacing w:before="0" w:after="80" w:line="245" w:lineRule="auto"/>
            </w:pPr>
            <w:r>
              <w:rPr>
                <w:rFonts w:ascii="Aptos" w:hAnsi="Aptos"/>
                <w:b w:val="0"/>
                <w:color w:val="14213D"/>
                <w:sz w:val="18"/>
              </w:rPr>
              <w:t>Proposal teams navigate fragmented portals, interpret requirements and locate credible evidence of past capability. Every handoff can lose context or turn a technical failure into a misleading business signal.</w:t>
            </w:r>
          </w:p>
          <w:p>
            <w:pPr>
              <w:keepNext/>
              <w:spacing w:before="140" w:after="60"/>
            </w:pPr>
            <w:r>
              <w:rPr>
                <w:rFonts w:ascii="Aptos Display" w:hAnsi="Aptos Display"/>
                <w:b/>
                <w:color w:val="147D78"/>
                <w:sz w:val="18"/>
              </w:rPr>
              <w:t>WHAT I DELIVERED</w:t>
            </w:r>
          </w:p>
          <w:p>
            <w:pPr>
              <w:pStyle w:val="ListBullet"/>
              <w:spacing w:after="60" w:line="240" w:lineRule="auto"/>
              <w:ind w:left="230" w:hanging="173"/>
            </w:pPr>
            <w:r>
              <w:rPr>
                <w:rFonts w:ascii="Aptos" w:hAnsi="Aptos"/>
                <w:b/>
                <w:color w:val="14213D"/>
                <w:sz w:val="17"/>
              </w:rPr>
              <w:t xml:space="preserve">Tool 1: </w:t>
            </w:r>
            <w:r>
              <w:rPr>
                <w:rFonts w:ascii="Aptos" w:hAnsi="Aptos"/>
                <w:color w:val="52606D"/>
                <w:sz w:val="17"/>
              </w:rPr>
              <w:t>portal adapters, English/Spanish matching, full-text enrichment, discovery timestamps and matched-keyword tracking through a validated Sheet contract.</w:t>
            </w:r>
          </w:p>
          <w:p>
            <w:pPr>
              <w:pStyle w:val="ListBullet"/>
              <w:spacing w:after="60" w:line="240" w:lineRule="auto"/>
              <w:ind w:left="230" w:hanging="173"/>
            </w:pPr>
            <w:r>
              <w:rPr>
                <w:rFonts w:ascii="Aptos" w:hAnsi="Aptos"/>
                <w:b/>
                <w:color w:val="14213D"/>
                <w:sz w:val="17"/>
              </w:rPr>
              <w:t xml:space="preserve">Tool 2: </w:t>
            </w:r>
            <w:r>
              <w:rPr>
                <w:rFonts w:ascii="Aptos" w:hAnsi="Aptos"/>
                <w:color w:val="52606D"/>
                <w:sz w:val="17"/>
              </w:rPr>
              <w:t>read-only search, filters, sorting and pagination; ToR upload and review; evidence retrieval; editable draft generation and DOCX export.</w:t>
            </w:r>
          </w:p>
          <w:p>
            <w:pPr>
              <w:keepNext/>
              <w:spacing w:before="140" w:after="60"/>
            </w:pPr>
            <w:r>
              <w:rPr>
                <w:rFonts w:ascii="Aptos Display" w:hAnsi="Aptos Display"/>
                <w:b/>
                <w:color w:val="147D78"/>
                <w:sz w:val="18"/>
              </w:rPr>
              <w:t>ENGINEERING DECISIONS</w:t>
            </w:r>
          </w:p>
          <w:p>
            <w:pPr>
              <w:pStyle w:val="ListBullet"/>
              <w:spacing w:after="60" w:line="240" w:lineRule="auto"/>
              <w:ind w:left="230" w:hanging="173"/>
            </w:pPr>
            <w:r>
              <w:rPr>
                <w:rFonts w:ascii="Aptos" w:hAnsi="Aptos"/>
                <w:b/>
                <w:color w:val="14213D"/>
                <w:sz w:val="17"/>
              </w:rPr>
              <w:t xml:space="preserve">Header-name-driven integration. </w:t>
            </w:r>
            <w:r>
              <w:rPr>
                <w:rFonts w:ascii="Aptos" w:hAnsi="Aptos"/>
                <w:color w:val="52606D"/>
                <w:sz w:val="17"/>
              </w:rPr>
              <w:t>Reordered columns cannot silently corrupt shared records.</w:t>
            </w:r>
          </w:p>
          <w:p>
            <w:pPr>
              <w:pStyle w:val="ListBullet"/>
              <w:spacing w:after="60" w:line="240" w:lineRule="auto"/>
              <w:ind w:left="230" w:hanging="173"/>
            </w:pPr>
            <w:r>
              <w:rPr>
                <w:rFonts w:ascii="Aptos" w:hAnsi="Aptos"/>
                <w:b/>
                <w:color w:val="14213D"/>
                <w:sz w:val="17"/>
              </w:rPr>
              <w:t xml:space="preserve">Honest failure semantics. </w:t>
            </w:r>
            <w:r>
              <w:rPr>
                <w:rFonts w:ascii="Aptos" w:hAnsi="Aptos"/>
                <w:color w:val="52606D"/>
                <w:sz w:val="17"/>
              </w:rPr>
              <w:t>A source outage is not reported as a successful search with zero results.</w:t>
            </w:r>
          </w:p>
          <w:p>
            <w:pPr>
              <w:pStyle w:val="ListBullet"/>
              <w:spacing w:after="60" w:line="240" w:lineRule="auto"/>
              <w:ind w:left="230" w:hanging="173"/>
            </w:pPr>
            <w:r>
              <w:rPr>
                <w:rFonts w:ascii="Aptos" w:hAnsi="Aptos"/>
                <w:b/>
                <w:color w:val="14213D"/>
                <w:sz w:val="17"/>
              </w:rPr>
              <w:t xml:space="preserve">Evidence-preserving updates. </w:t>
            </w:r>
            <w:r>
              <w:rPr>
                <w:rFonts w:ascii="Aptos" w:hAnsi="Aptos"/>
                <w:color w:val="52606D"/>
                <w:sz w:val="17"/>
              </w:rPr>
              <w:t>Supported failures retain last-known-good passages and report incomplete recovery.</w:t>
            </w:r>
          </w:p>
          <w:p>
            <w:pPr>
              <w:pStyle w:val="ListBullet"/>
              <w:spacing w:after="60" w:line="240" w:lineRule="auto"/>
              <w:ind w:left="230" w:hanging="173"/>
            </w:pPr>
            <w:r>
              <w:rPr>
                <w:rFonts w:ascii="Aptos" w:hAnsi="Aptos"/>
                <w:b/>
                <w:color w:val="14213D"/>
                <w:sz w:val="17"/>
              </w:rPr>
              <w:t xml:space="preserve">Transparent counts. </w:t>
            </w:r>
            <w:r>
              <w:rPr>
                <w:rFonts w:ascii="Aptos" w:hAnsi="Aptos"/>
                <w:color w:val="52606D"/>
                <w:sz w:val="17"/>
              </w:rPr>
              <w:t>Source files, indexed documents and search chunks remain distinct.</w:t>
            </w:r>
          </w:p>
        </w:tc>
        <w:tc>
          <w:tcPr>
            <w:tcW w:type="dxa" w:w="3672"/>
            <w:vAlign w:val="top"/>
            <w:tcMar>
              <w:top w:w="40" w:type="dxa"/>
              <w:start w:w="150" w:type="dxa"/>
              <w:bottom w:w="0" w:type="dxa"/>
              <w:end w:w="0" w:type="dxa"/>
            </w:tcMar>
          </w:tcPr>
          <w:p/>
          <w:p>
            <w:pPr>
              <w:keepNext/>
              <w:spacing w:before="140" w:after="60"/>
            </w:pPr>
            <w:r>
              <w:rPr>
                <w:rFonts w:ascii="Aptos Display" w:hAnsi="Aptos Display"/>
                <w:b/>
                <w:color w:val="147D78"/>
                <w:sz w:val="18"/>
              </w:rPr>
              <w:t>MY ROLE</w:t>
            </w:r>
          </w:p>
          <w:p>
            <w:pPr>
              <w:spacing w:before="0" w:after="60" w:line="252" w:lineRule="auto"/>
            </w:pPr>
            <w:r>
              <w:rPr>
                <w:rFonts w:ascii="Aptos" w:hAnsi="Aptos"/>
                <w:b/>
                <w:color w:val="14213D"/>
                <w:sz w:val="17"/>
              </w:rPr>
              <w:t>Architecture · Product scoping · AI-assisted implementation workflow · Code review · Testing · Integration · Delivery control</w:t>
            </w:r>
          </w:p>
          <w:p>
            <w:pPr>
              <w:keepNext/>
              <w:spacing w:before="140" w:after="60"/>
            </w:pPr>
            <w:r>
              <w:rPr>
                <w:rFonts w:ascii="Aptos Display" w:hAnsi="Aptos Display"/>
                <w:b/>
                <w:color w:val="147D78"/>
                <w:sz w:val="18"/>
              </w:rPr>
              <w:t>TECHNOLOGY</w:t>
            </w:r>
          </w:p>
          <w:p>
            <w:pPr>
              <w:spacing w:before="0" w:after="60" w:line="259" w:lineRule="auto"/>
            </w:pPr>
            <w:r>
              <w:rPr>
                <w:rFonts w:ascii="Aptos" w:hAnsi="Aptos"/>
                <w:b w:val="0"/>
                <w:color w:val="14213D"/>
                <w:sz w:val="17"/>
              </w:rPr>
              <w:t>Python</w:t>
              <w:br/>
              <w:t>Streamlit</w:t>
              <w:br/>
              <w:t>Google Sheets</w:t>
              <w:br/>
              <w:t>Chroma vector index</w:t>
              <w:br/>
              <w:t>LLM-assisted extraction and drafting</w:t>
              <w:br/>
              <w:t>DOCX export</w:t>
            </w:r>
          </w:p>
          <w:p>
            <w:pPr>
              <w:keepNext/>
              <w:spacing w:before="140" w:after="60"/>
            </w:pPr>
            <w:r>
              <w:rPr>
                <w:rFonts w:ascii="Aptos Display" w:hAnsi="Aptos Display"/>
                <w:b/>
                <w:color w:val="147D78"/>
                <w:sz w:val="18"/>
              </w:rPr>
              <w:t>DELIVERY METHOD</w:t>
            </w:r>
          </w:p>
          <w:p>
            <w:pPr>
              <w:spacing w:before="0" w:after="60" w:line="245" w:lineRule="auto"/>
            </w:pPr>
            <w:r>
              <w:rPr>
                <w:rFonts w:ascii="Aptos" w:hAnsi="Aptos"/>
                <w:b w:val="0"/>
                <w:color w:val="14213D"/>
                <w:sz w:val="17"/>
              </w:rPr>
              <w:t>Explicit contracts, bounded implementation tasks, independent review, adversarial tests and controlled integration.</w:t>
            </w:r>
          </w:p>
          <w:p>
            <w:pPr>
              <w:keepNext/>
              <w:spacing w:before="140" w:after="60"/>
            </w:pPr>
            <w:r>
              <w:rPr>
                <w:rFonts w:ascii="Aptos Display" w:hAnsi="Aptos Display"/>
                <w:b/>
                <w:color w:val="147D78"/>
                <w:sz w:val="18"/>
              </w:rPr>
              <w:t>CURRENT BOUNDARY</w:t>
            </w:r>
          </w:p>
          <w:p>
            <w:pPr>
              <w:spacing w:before="0" w:after="60" w:line="245" w:lineRule="auto"/>
            </w:pPr>
            <w:r>
              <w:rPr>
                <w:rFonts w:ascii="Aptos" w:hAnsi="Aptos"/>
                <w:b w:val="0"/>
                <w:color w:val="14213D"/>
                <w:sz w:val="17"/>
              </w:rPr>
              <w:t>Generated text, extracted requirements and source references require human verification. Deterministic quote-to-source verification is planned next-stage work.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62"/>
        <w:gridCol w:w="5162"/>
      </w:tblGrid>
      <w:tr>
        <w:tc>
          <w:tcPr>
            <w:tcW w:type="dxa" w:w="6696"/>
            <w:shd w:fill="EAF5F4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  <w:p>
            <w:pPr>
              <w:spacing w:before="0" w:after="40" w:line="245" w:lineRule="auto"/>
            </w:pPr>
            <w:r>
              <w:rPr>
                <w:rFonts w:ascii="Aptos" w:hAnsi="Aptos"/>
                <w:b/>
                <w:color w:val="147D78"/>
                <w:sz w:val="16"/>
              </w:rPr>
              <w:t>RESULT</w:t>
            </w:r>
          </w:p>
          <w:p>
            <w:pPr>
              <w:spacing w:before="0" w:after="0" w:line="245" w:lineRule="auto"/>
            </w:pPr>
            <w:r>
              <w:rPr>
                <w:rFonts w:ascii="Aptos" w:hAnsi="Aptos"/>
                <w:b/>
                <w:color w:val="14213D"/>
                <w:sz w:val="18"/>
              </w:rPr>
              <w:t>A connected discovery-to-document workflow with reviewable handoffs, visible partial failures and explicit human accountability.</w:t>
            </w:r>
          </w:p>
        </w:tc>
        <w:tc>
          <w:tcPr>
            <w:tcW w:type="dxa" w:w="3384"/>
            <w:shd w:fill="EAF5F4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4213D"/>
                <w:sz w:val="14"/>
              </w:rPr>
              <w:t>Armando Elizalde</w:t>
              <w:br/>
              <w:t>armando21elizalde@gmail.com</w:t>
              <w:br/>
              <w:t>linkedin.com/in/elizaltech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691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color w:val="52606D"/>
        <w:sz w:val="15"/>
      </w:rPr>
      <w:t>Synthetic examples only · Client identity, private code and operational data withheld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42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Opportunity Intelligence and Evidence-Assisted Proposal Platform</dc:title>
  <dc:subject>Confidential engagement portfolio case study</dc:subject>
  <dc:creator/>
  <cp:keywords/>
  <dc:description/>
  <cp:lastModifiedBy/>
  <cp:revision>1</cp:revision>
  <dcterms:created xsi:type="dcterms:W3CDTF">2026-09-26T00:00:00Z</dcterms:created>
  <dcterms:modified xsi:type="dcterms:W3CDTF">2026-09-26T00:00:00Z</dcterms:modified>
  <cp:category/>
</cp:coreProperties>
</file>