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068A3" w14:textId="13ED0F41" w:rsidR="007E4C36" w:rsidRPr="003E4C1F" w:rsidRDefault="00220E79" w:rsidP="00220E79">
      <w:pPr>
        <w:pStyle w:val="Title"/>
        <w:jc w:val="both"/>
        <w:rPr>
          <w:rFonts w:cstheme="majorHAnsi"/>
          <w:color w:val="000000" w:themeColor="text1"/>
        </w:rPr>
      </w:pPr>
      <w:r w:rsidRPr="003E4C1F">
        <w:rPr>
          <w:rFonts w:cstheme="majorHAnsi"/>
          <w:noProof/>
          <w:color w:val="000000" w:themeColor="text1"/>
          <w:sz w:val="20"/>
          <w:szCs w:val="20"/>
        </w:rPr>
        <w:drawing>
          <wp:anchor distT="0" distB="0" distL="114300" distR="114300" simplePos="0" relativeHeight="251659264" behindDoc="1" locked="0" layoutInCell="1" allowOverlap="1" wp14:anchorId="59BA500C" wp14:editId="7964A89E">
            <wp:simplePos x="0" y="0"/>
            <wp:positionH relativeFrom="column">
              <wp:posOffset>3964132</wp:posOffset>
            </wp:positionH>
            <wp:positionV relativeFrom="paragraph">
              <wp:posOffset>0</wp:posOffset>
            </wp:positionV>
            <wp:extent cx="2278380" cy="637540"/>
            <wp:effectExtent l="0" t="0" r="0" b="0"/>
            <wp:wrapTight wrapText="bothSides">
              <wp:wrapPolygon edited="0">
                <wp:start x="17699" y="1721"/>
                <wp:lineTo x="2649" y="3012"/>
                <wp:lineTo x="602" y="3873"/>
                <wp:lineTo x="602" y="11618"/>
                <wp:lineTo x="963" y="16351"/>
                <wp:lineTo x="2288" y="18502"/>
                <wp:lineTo x="2649" y="19363"/>
                <wp:lineTo x="16856" y="19363"/>
                <wp:lineTo x="20468" y="18502"/>
                <wp:lineTo x="21070" y="18072"/>
                <wp:lineTo x="20589" y="16351"/>
                <wp:lineTo x="20709" y="9036"/>
                <wp:lineTo x="20227" y="6884"/>
                <wp:lineTo x="18903" y="1721"/>
                <wp:lineTo x="17699" y="1721"/>
              </wp:wrapPolygon>
            </wp:wrapTight>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278380" cy="637540"/>
                    </a:xfrm>
                    <a:prstGeom prst="rect">
                      <a:avLst/>
                    </a:prstGeom>
                  </pic:spPr>
                </pic:pic>
              </a:graphicData>
            </a:graphic>
            <wp14:sizeRelH relativeFrom="page">
              <wp14:pctWidth>0</wp14:pctWidth>
            </wp14:sizeRelH>
            <wp14:sizeRelV relativeFrom="page">
              <wp14:pctHeight>0</wp14:pctHeight>
            </wp14:sizeRelV>
          </wp:anchor>
        </w:drawing>
      </w:r>
      <w:r w:rsidRPr="003E4C1F">
        <w:rPr>
          <w:rFonts w:cstheme="majorHAnsi"/>
          <w:color w:val="000000" w:themeColor="text1"/>
        </w:rPr>
        <w:t>Inter-American Development Bank (IDB)</w:t>
      </w:r>
      <w:r w:rsidR="008D62C5" w:rsidRPr="003E4C1F">
        <w:rPr>
          <w:rFonts w:eastAsiaTheme="minorEastAsia" w:cstheme="majorHAnsi"/>
          <w:noProof/>
          <w:color w:val="000000" w:themeColor="text1"/>
          <w:spacing w:val="0"/>
          <w:kern w:val="0"/>
          <w:sz w:val="22"/>
          <w:szCs w:val="22"/>
        </w:rPr>
        <w:t xml:space="preserve"> </w:t>
      </w:r>
      <w:r w:rsidRPr="003E4C1F">
        <w:rPr>
          <w:rFonts w:cstheme="majorHAnsi"/>
          <w:color w:val="000000" w:themeColor="text1"/>
        </w:rPr>
        <w:br/>
        <w:t xml:space="preserve">Regional Public Goods (RPG) Proposal </w:t>
      </w:r>
    </w:p>
    <w:p w14:paraId="5C6158E0" w14:textId="7FD3704B" w:rsidR="003A2371" w:rsidRPr="003E4C1F" w:rsidRDefault="003A2371" w:rsidP="003A2371">
      <w:pPr>
        <w:pStyle w:val="NormalWeb"/>
        <w:jc w:val="both"/>
        <w:rPr>
          <w:rFonts w:asciiTheme="majorHAnsi" w:hAnsiTheme="majorHAnsi" w:cstheme="majorHAnsi"/>
          <w:b/>
          <w:bCs/>
          <w:color w:val="000000" w:themeColor="text1"/>
        </w:rPr>
      </w:pPr>
      <w:r w:rsidRPr="003E4C1F">
        <w:rPr>
          <w:rFonts w:asciiTheme="majorHAnsi" w:hAnsiTheme="majorHAnsi" w:cstheme="majorHAnsi"/>
          <w:color w:val="000000" w:themeColor="text1"/>
        </w:rPr>
        <w:t>This document presents an initial draft concept developed by GovRisk for potential consideration under the IDB Regional Public Goods (RPG) initiative. It is intended to support early discussion and will hopefully be further refined into a full proposal. The costs and annexes sections are not yet complete and will be developed following initial feedback.</w:t>
      </w:r>
      <w:r w:rsidRPr="003E4C1F">
        <w:rPr>
          <w:rFonts w:asciiTheme="majorHAnsi" w:hAnsiTheme="majorHAnsi" w:cstheme="majorHAnsi"/>
          <w:b/>
          <w:bCs/>
          <w:color w:val="000000" w:themeColor="text1"/>
        </w:rPr>
        <w:t xml:space="preserve"> </w:t>
      </w:r>
    </w:p>
    <w:p w14:paraId="0041B7A0" w14:textId="2751B591" w:rsidR="00A75E4F" w:rsidRPr="003E4C1F" w:rsidRDefault="00A75E4F" w:rsidP="00A75E4F">
      <w:pPr>
        <w:pStyle w:val="NormalWeb"/>
        <w:rPr>
          <w:rFonts w:asciiTheme="majorHAnsi" w:hAnsiTheme="majorHAnsi" w:cstheme="majorHAnsi"/>
          <w:color w:val="000000" w:themeColor="text1"/>
        </w:rPr>
      </w:pPr>
      <w:r w:rsidRPr="003E4C1F">
        <w:rPr>
          <w:rStyle w:val="Strong"/>
          <w:rFonts w:asciiTheme="majorHAnsi" w:hAnsiTheme="majorHAnsi" w:cstheme="majorHAnsi"/>
          <w:color w:val="000000" w:themeColor="text1"/>
        </w:rPr>
        <w:t>Date:</w:t>
      </w:r>
      <w:r w:rsidRPr="003E4C1F">
        <w:rPr>
          <w:rFonts w:asciiTheme="majorHAnsi" w:hAnsiTheme="majorHAnsi" w:cstheme="majorHAnsi"/>
          <w:color w:val="000000" w:themeColor="text1"/>
        </w:rPr>
        <w:t xml:space="preserve"> 2</w:t>
      </w:r>
      <w:r w:rsidR="00397629">
        <w:rPr>
          <w:rFonts w:asciiTheme="majorHAnsi" w:hAnsiTheme="majorHAnsi" w:cstheme="majorHAnsi"/>
          <w:color w:val="000000" w:themeColor="text1"/>
        </w:rPr>
        <w:t>0</w:t>
      </w:r>
      <w:r w:rsidRPr="003E4C1F">
        <w:rPr>
          <w:rFonts w:asciiTheme="majorHAnsi" w:hAnsiTheme="majorHAnsi" w:cstheme="majorHAnsi"/>
          <w:color w:val="000000" w:themeColor="text1"/>
        </w:rPr>
        <w:t xml:space="preserve"> </w:t>
      </w:r>
      <w:r w:rsidR="00397629">
        <w:rPr>
          <w:rFonts w:asciiTheme="majorHAnsi" w:hAnsiTheme="majorHAnsi" w:cstheme="majorHAnsi"/>
          <w:color w:val="000000" w:themeColor="text1"/>
        </w:rPr>
        <w:t>April</w:t>
      </w:r>
      <w:r w:rsidRPr="003E4C1F">
        <w:rPr>
          <w:rFonts w:asciiTheme="majorHAnsi" w:hAnsiTheme="majorHAnsi" w:cstheme="majorHAnsi"/>
          <w:color w:val="000000" w:themeColor="text1"/>
        </w:rPr>
        <w:t xml:space="preserve"> 2026</w:t>
      </w:r>
      <w:r w:rsidRPr="003E4C1F">
        <w:rPr>
          <w:rFonts w:asciiTheme="majorHAnsi" w:hAnsiTheme="majorHAnsi" w:cstheme="majorHAnsi"/>
          <w:color w:val="000000" w:themeColor="text1"/>
        </w:rPr>
        <w:br/>
      </w:r>
      <w:r w:rsidRPr="003E4C1F">
        <w:rPr>
          <w:rStyle w:val="Strong"/>
          <w:rFonts w:asciiTheme="majorHAnsi" w:hAnsiTheme="majorHAnsi" w:cstheme="majorHAnsi"/>
          <w:color w:val="000000" w:themeColor="text1"/>
        </w:rPr>
        <w:t>Project Title:</w:t>
      </w:r>
      <w:r w:rsidRPr="003E4C1F">
        <w:rPr>
          <w:rFonts w:asciiTheme="majorHAnsi" w:hAnsiTheme="majorHAnsi" w:cstheme="majorHAnsi"/>
          <w:color w:val="000000" w:themeColor="text1"/>
        </w:rPr>
        <w:t xml:space="preserve"> Regional Sectoral Risk Assessment of ML/TF Risks in the Real Estate Sector in the Southern Cone</w:t>
      </w:r>
      <w:r w:rsidRPr="003E4C1F">
        <w:rPr>
          <w:rFonts w:asciiTheme="majorHAnsi" w:hAnsiTheme="majorHAnsi" w:cstheme="majorHAnsi"/>
          <w:color w:val="000000" w:themeColor="text1"/>
        </w:rPr>
        <w:br/>
      </w:r>
      <w:r w:rsidRPr="003E4C1F">
        <w:rPr>
          <w:rStyle w:val="Strong"/>
          <w:rFonts w:asciiTheme="majorHAnsi" w:hAnsiTheme="majorHAnsi" w:cstheme="majorHAnsi"/>
          <w:color w:val="000000" w:themeColor="text1"/>
        </w:rPr>
        <w:t>Countries:</w:t>
      </w:r>
      <w:r w:rsidRPr="003E4C1F">
        <w:rPr>
          <w:rFonts w:asciiTheme="majorHAnsi" w:hAnsiTheme="majorHAnsi" w:cstheme="majorHAnsi"/>
          <w:color w:val="000000" w:themeColor="text1"/>
        </w:rPr>
        <w:t xml:space="preserve"> Argentina, Brazil, Paraguay, Uruguay</w:t>
      </w:r>
    </w:p>
    <w:p w14:paraId="0DE22F6F" w14:textId="50665117" w:rsidR="00A75E4F" w:rsidRPr="003E4C1F" w:rsidRDefault="00A75E4F" w:rsidP="00A75E4F">
      <w:pPr>
        <w:pStyle w:val="NormalWeb"/>
        <w:rPr>
          <w:rFonts w:asciiTheme="majorHAnsi" w:hAnsiTheme="majorHAnsi" w:cstheme="majorHAnsi"/>
          <w:color w:val="000000" w:themeColor="text1"/>
        </w:rPr>
      </w:pPr>
      <w:r w:rsidRPr="003E4C1F">
        <w:rPr>
          <w:rStyle w:val="Strong"/>
          <w:rFonts w:asciiTheme="majorHAnsi" w:hAnsiTheme="majorHAnsi" w:cstheme="majorHAnsi"/>
          <w:color w:val="000000" w:themeColor="text1"/>
        </w:rPr>
        <w:t>Lead Institution:</w:t>
      </w:r>
      <w:r w:rsidRPr="003E4C1F">
        <w:rPr>
          <w:rFonts w:asciiTheme="majorHAnsi" w:hAnsiTheme="majorHAnsi" w:cstheme="majorHAnsi"/>
          <w:color w:val="000000" w:themeColor="text1"/>
        </w:rPr>
        <w:t xml:space="preserve"> The International Governance and Risk Institute (GovRisk)</w:t>
      </w:r>
      <w:r w:rsidRPr="003E4C1F">
        <w:rPr>
          <w:rFonts w:asciiTheme="majorHAnsi" w:hAnsiTheme="majorHAnsi" w:cstheme="majorHAnsi"/>
          <w:color w:val="000000" w:themeColor="text1"/>
        </w:rPr>
        <w:br/>
      </w:r>
      <w:r w:rsidRPr="003E4C1F">
        <w:rPr>
          <w:rStyle w:val="Strong"/>
          <w:rFonts w:asciiTheme="majorHAnsi" w:hAnsiTheme="majorHAnsi" w:cstheme="majorHAnsi"/>
          <w:color w:val="000000" w:themeColor="text1"/>
        </w:rPr>
        <w:t>Contact:</w:t>
      </w:r>
      <w:r w:rsidRPr="003E4C1F">
        <w:rPr>
          <w:rFonts w:asciiTheme="majorHAnsi" w:hAnsiTheme="majorHAnsi" w:cstheme="majorHAnsi"/>
          <w:color w:val="000000" w:themeColor="text1"/>
        </w:rPr>
        <w:t xml:space="preserve"> Mark Willcock, Programme Development Manager, Secretariat</w:t>
      </w:r>
      <w:r w:rsidRPr="003E4C1F">
        <w:rPr>
          <w:rFonts w:asciiTheme="majorHAnsi" w:hAnsiTheme="majorHAnsi" w:cstheme="majorHAnsi"/>
          <w:color w:val="000000" w:themeColor="text1"/>
        </w:rPr>
        <w:br/>
      </w:r>
      <w:r w:rsidRPr="003E4C1F">
        <w:rPr>
          <w:rStyle w:val="Strong"/>
          <w:rFonts w:asciiTheme="majorHAnsi" w:hAnsiTheme="majorHAnsi" w:cstheme="majorHAnsi"/>
          <w:color w:val="000000" w:themeColor="text1"/>
        </w:rPr>
        <w:t>Email:</w:t>
      </w:r>
      <w:r w:rsidRPr="003E4C1F">
        <w:rPr>
          <w:rFonts w:asciiTheme="majorHAnsi" w:hAnsiTheme="majorHAnsi" w:cstheme="majorHAnsi"/>
          <w:color w:val="000000" w:themeColor="text1"/>
        </w:rPr>
        <w:t xml:space="preserve"> mark.willcock@govrisk.org | </w:t>
      </w:r>
      <w:r w:rsidRPr="003E4C1F">
        <w:rPr>
          <w:rStyle w:val="Strong"/>
          <w:rFonts w:asciiTheme="majorHAnsi" w:hAnsiTheme="majorHAnsi" w:cstheme="majorHAnsi"/>
          <w:color w:val="000000" w:themeColor="text1"/>
        </w:rPr>
        <w:t>Website:</w:t>
      </w:r>
      <w:r w:rsidRPr="003E4C1F">
        <w:rPr>
          <w:rFonts w:asciiTheme="majorHAnsi" w:hAnsiTheme="majorHAnsi" w:cstheme="majorHAnsi"/>
          <w:color w:val="000000" w:themeColor="text1"/>
        </w:rPr>
        <w:t xml:space="preserve"> </w:t>
      </w:r>
      <w:hyperlink r:id="rId9" w:tgtFrame="_new" w:history="1">
        <w:r w:rsidRPr="003E4C1F">
          <w:rPr>
            <w:rStyle w:val="Hyperlink"/>
            <w:rFonts w:asciiTheme="majorHAnsi" w:hAnsiTheme="majorHAnsi" w:cstheme="majorHAnsi"/>
            <w:color w:val="000000" w:themeColor="text1"/>
          </w:rPr>
          <w:t>www.govrisk.org</w:t>
        </w:r>
      </w:hyperlink>
    </w:p>
    <w:p w14:paraId="3627B9A7" w14:textId="67178F52" w:rsidR="00A75E4F" w:rsidRPr="003E4C1F" w:rsidRDefault="00A75E4F" w:rsidP="00A75E4F">
      <w:pPr>
        <w:pStyle w:val="NormalWeb"/>
        <w:rPr>
          <w:rFonts w:asciiTheme="majorHAnsi" w:hAnsiTheme="majorHAnsi" w:cstheme="majorHAnsi"/>
          <w:color w:val="000000" w:themeColor="text1"/>
          <w:lang w:val="es-ES"/>
        </w:rPr>
      </w:pPr>
      <w:r w:rsidRPr="003E4C1F">
        <w:rPr>
          <w:rStyle w:val="Strong"/>
          <w:rFonts w:asciiTheme="majorHAnsi" w:hAnsiTheme="majorHAnsi" w:cstheme="majorHAnsi"/>
          <w:color w:val="000000" w:themeColor="text1"/>
          <w:lang w:val="es-ES"/>
        </w:rPr>
        <w:t>Partners:</w:t>
      </w:r>
    </w:p>
    <w:p w14:paraId="2D0A1C54" w14:textId="77777777" w:rsidR="00A75E4F" w:rsidRPr="003E4C1F" w:rsidRDefault="00A75E4F" w:rsidP="00A75E4F">
      <w:pPr>
        <w:pStyle w:val="NormalWeb"/>
        <w:rPr>
          <w:rFonts w:asciiTheme="majorHAnsi" w:hAnsiTheme="majorHAnsi" w:cstheme="majorHAnsi"/>
          <w:color w:val="000000" w:themeColor="text1"/>
          <w:lang w:val="es-ES"/>
        </w:rPr>
      </w:pPr>
      <w:r w:rsidRPr="003E4C1F">
        <w:rPr>
          <w:rStyle w:val="Strong"/>
          <w:rFonts w:asciiTheme="majorHAnsi" w:hAnsiTheme="majorHAnsi" w:cstheme="majorHAnsi"/>
          <w:color w:val="000000" w:themeColor="text1"/>
          <w:lang w:val="es-ES"/>
        </w:rPr>
        <w:t>Argentina</w:t>
      </w:r>
      <w:r w:rsidRPr="003E4C1F">
        <w:rPr>
          <w:rFonts w:asciiTheme="majorHAnsi" w:hAnsiTheme="majorHAnsi" w:cstheme="majorHAnsi"/>
          <w:color w:val="000000" w:themeColor="text1"/>
          <w:lang w:val="es-ES"/>
        </w:rPr>
        <w:br/>
        <w:t>Lead National Counterpart: Unidad de Información Financiera (UIF)</w:t>
      </w:r>
      <w:r w:rsidRPr="003E4C1F">
        <w:rPr>
          <w:rFonts w:asciiTheme="majorHAnsi" w:hAnsiTheme="majorHAnsi" w:cstheme="majorHAnsi"/>
          <w:color w:val="000000" w:themeColor="text1"/>
          <w:lang w:val="es-ES"/>
        </w:rPr>
        <w:br/>
        <w:t>Strategic Institutional Partners: Oficina Anticorrupción (OA); autoridades de beneficiario final (fiscales, registro mercantil, supervisores)</w:t>
      </w:r>
    </w:p>
    <w:p w14:paraId="77ED8220" w14:textId="77777777" w:rsidR="00A75E4F" w:rsidRPr="003E4C1F" w:rsidRDefault="00A75E4F" w:rsidP="00A75E4F">
      <w:pPr>
        <w:pStyle w:val="NormalWeb"/>
        <w:rPr>
          <w:rFonts w:asciiTheme="majorHAnsi" w:hAnsiTheme="majorHAnsi" w:cstheme="majorHAnsi"/>
          <w:color w:val="000000" w:themeColor="text1"/>
          <w:lang w:val="pt-BR"/>
        </w:rPr>
      </w:pPr>
      <w:r w:rsidRPr="003E4C1F">
        <w:rPr>
          <w:rStyle w:val="Strong"/>
          <w:rFonts w:asciiTheme="majorHAnsi" w:hAnsiTheme="majorHAnsi" w:cstheme="majorHAnsi"/>
          <w:color w:val="000000" w:themeColor="text1"/>
          <w:lang w:val="pt-BR"/>
        </w:rPr>
        <w:t>Brazil</w:t>
      </w:r>
      <w:r w:rsidRPr="003E4C1F">
        <w:rPr>
          <w:rFonts w:asciiTheme="majorHAnsi" w:hAnsiTheme="majorHAnsi" w:cstheme="majorHAnsi"/>
          <w:color w:val="000000" w:themeColor="text1"/>
          <w:lang w:val="pt-BR"/>
        </w:rPr>
        <w:br/>
        <w:t>Lead National Counterpart: Conselho Federal de Corretores de Imóveis (COFECI) / Sistema CRECI</w:t>
      </w:r>
      <w:r w:rsidRPr="003E4C1F">
        <w:rPr>
          <w:rFonts w:asciiTheme="majorHAnsi" w:hAnsiTheme="majorHAnsi" w:cstheme="majorHAnsi"/>
          <w:color w:val="000000" w:themeColor="text1"/>
          <w:lang w:val="pt-BR"/>
        </w:rPr>
        <w:br/>
        <w:t>Strategic Institutional Partners: Conselho de Controle de Atividades Financeiras (COAF); Estratégia Nacional de Combate à Corrupção e à Lavagem de Dinheiro (ENCCLA)</w:t>
      </w:r>
    </w:p>
    <w:p w14:paraId="6DA60DFE" w14:textId="77777777" w:rsidR="00A75E4F" w:rsidRPr="003E4C1F" w:rsidRDefault="00A75E4F" w:rsidP="00A75E4F">
      <w:pPr>
        <w:pStyle w:val="NormalWeb"/>
        <w:rPr>
          <w:rFonts w:asciiTheme="majorHAnsi" w:hAnsiTheme="majorHAnsi" w:cstheme="majorHAnsi"/>
          <w:color w:val="000000" w:themeColor="text1"/>
          <w:lang w:val="es-ES"/>
        </w:rPr>
      </w:pPr>
      <w:r w:rsidRPr="003E4C1F">
        <w:rPr>
          <w:rStyle w:val="Strong"/>
          <w:rFonts w:asciiTheme="majorHAnsi" w:hAnsiTheme="majorHAnsi" w:cstheme="majorHAnsi"/>
          <w:color w:val="000000" w:themeColor="text1"/>
          <w:lang w:val="es-ES"/>
        </w:rPr>
        <w:t>Paraguay</w:t>
      </w:r>
      <w:r w:rsidRPr="003E4C1F">
        <w:rPr>
          <w:rFonts w:asciiTheme="majorHAnsi" w:hAnsiTheme="majorHAnsi" w:cstheme="majorHAnsi"/>
          <w:color w:val="000000" w:themeColor="text1"/>
          <w:lang w:val="es-ES"/>
        </w:rPr>
        <w:br/>
        <w:t>Lead National Counterpart: Secretaría de Prevención de Lavado de Dinero o Bienes (SEPRELAD)</w:t>
      </w:r>
      <w:r w:rsidRPr="003E4C1F">
        <w:rPr>
          <w:rFonts w:asciiTheme="majorHAnsi" w:hAnsiTheme="majorHAnsi" w:cstheme="majorHAnsi"/>
          <w:color w:val="000000" w:themeColor="text1"/>
          <w:lang w:val="es-ES"/>
        </w:rPr>
        <w:br/>
        <w:t>Strategic Institutional Partners: Contraloría General de la República (CGR); Dirección General de Personas y Estructuras Jurídicas y Beneficiarios Finales (MEF)</w:t>
      </w:r>
    </w:p>
    <w:p w14:paraId="1673B998" w14:textId="77777777" w:rsidR="00A75E4F" w:rsidRPr="003E4C1F" w:rsidRDefault="00A75E4F" w:rsidP="00A75E4F">
      <w:pPr>
        <w:pStyle w:val="NormalWeb"/>
        <w:rPr>
          <w:rFonts w:asciiTheme="majorHAnsi" w:hAnsiTheme="majorHAnsi" w:cstheme="majorHAnsi"/>
          <w:color w:val="000000" w:themeColor="text1"/>
          <w:lang w:val="es-ES"/>
        </w:rPr>
      </w:pPr>
      <w:r w:rsidRPr="003E4C1F">
        <w:rPr>
          <w:rStyle w:val="Strong"/>
          <w:rFonts w:asciiTheme="majorHAnsi" w:hAnsiTheme="majorHAnsi" w:cstheme="majorHAnsi"/>
          <w:color w:val="000000" w:themeColor="text1"/>
          <w:lang w:val="es-ES"/>
        </w:rPr>
        <w:t>Uruguay</w:t>
      </w:r>
      <w:r w:rsidRPr="003E4C1F">
        <w:rPr>
          <w:rFonts w:asciiTheme="majorHAnsi" w:hAnsiTheme="majorHAnsi" w:cstheme="majorHAnsi"/>
          <w:color w:val="000000" w:themeColor="text1"/>
          <w:lang w:val="es-ES"/>
        </w:rPr>
        <w:br/>
        <w:t>Lead National Counterpart: Secretaría Nacional para la Lucha contra el Lavado de Activos y el Financiamiento del Terrorismo (SENACLAFT)</w:t>
      </w:r>
      <w:r w:rsidRPr="003E4C1F">
        <w:rPr>
          <w:rFonts w:asciiTheme="majorHAnsi" w:hAnsiTheme="majorHAnsi" w:cstheme="majorHAnsi"/>
          <w:color w:val="000000" w:themeColor="text1"/>
          <w:lang w:val="es-ES"/>
        </w:rPr>
        <w:br/>
        <w:t>Strategic Institutional Partners: Banco Central del Uruguay (BCU); Unidad de Información y Análisis Financiero (UIAF)</w:t>
      </w:r>
    </w:p>
    <w:p w14:paraId="3B9A0647" w14:textId="2BB9FB0F" w:rsidR="00A75E4F" w:rsidRPr="003E4C1F" w:rsidRDefault="00A75E4F" w:rsidP="00A75E4F">
      <w:pPr>
        <w:pStyle w:val="NormalWeb"/>
        <w:rPr>
          <w:rFonts w:asciiTheme="majorHAnsi" w:eastAsiaTheme="majorEastAsia" w:hAnsiTheme="majorHAnsi" w:cstheme="majorHAnsi"/>
          <w:i/>
          <w:iCs/>
          <w:color w:val="000000" w:themeColor="text1"/>
        </w:rPr>
      </w:pPr>
      <w:r w:rsidRPr="003E4C1F">
        <w:rPr>
          <w:rStyle w:val="Emphasis"/>
          <w:rFonts w:asciiTheme="majorHAnsi" w:eastAsiaTheme="majorEastAsia" w:hAnsiTheme="majorHAnsi" w:cstheme="majorHAnsi"/>
          <w:color w:val="000000" w:themeColor="text1"/>
        </w:rPr>
        <w:lastRenderedPageBreak/>
        <w:t>Strategic Institutional Partners are indicative; broader stakeholder engagement is envisaged. Letters of support from Lead National Counterparts are annexed (Argentina UIF pending formal confirmation).</w:t>
      </w:r>
    </w:p>
    <w:p w14:paraId="3167E42C" w14:textId="2E358DE1" w:rsidR="007E4C36" w:rsidRPr="003E4C1F" w:rsidRDefault="00000000" w:rsidP="00C15E16">
      <w:pPr>
        <w:pStyle w:val="NormalWeb"/>
        <w:rPr>
          <w:rFonts w:asciiTheme="majorHAnsi" w:eastAsiaTheme="majorEastAsia" w:hAnsiTheme="majorHAnsi" w:cstheme="majorHAnsi"/>
          <w:b/>
          <w:bCs/>
          <w:color w:val="000000" w:themeColor="text1"/>
          <w:sz w:val="28"/>
          <w:szCs w:val="28"/>
        </w:rPr>
      </w:pPr>
      <w:r w:rsidRPr="003E4C1F">
        <w:rPr>
          <w:rFonts w:asciiTheme="majorHAnsi" w:eastAsiaTheme="majorEastAsia" w:hAnsiTheme="majorHAnsi" w:cstheme="majorHAnsi"/>
          <w:b/>
          <w:bCs/>
          <w:color w:val="000000" w:themeColor="text1"/>
          <w:sz w:val="28"/>
          <w:szCs w:val="28"/>
        </w:rPr>
        <w:t>A. Executive Summary</w:t>
      </w:r>
    </w:p>
    <w:p w14:paraId="026B0822" w14:textId="43711613" w:rsidR="000075C2" w:rsidRPr="003E4C1F" w:rsidRDefault="008D62C5" w:rsidP="000075C2">
      <w:pPr>
        <w:pStyle w:val="NormalWeb"/>
        <w:jc w:val="both"/>
        <w:rPr>
          <w:rFonts w:asciiTheme="majorHAnsi" w:hAnsiTheme="majorHAnsi" w:cstheme="majorHAnsi"/>
          <w:color w:val="000000" w:themeColor="text1"/>
        </w:rPr>
      </w:pPr>
      <w:r w:rsidRPr="003E4C1F">
        <w:rPr>
          <w:rFonts w:asciiTheme="majorHAnsi" w:hAnsiTheme="majorHAnsi" w:cstheme="majorHAnsi"/>
          <w:b/>
          <w:bCs/>
          <w:color w:val="000000" w:themeColor="text1"/>
        </w:rPr>
        <w:t>Context and Problem:</w:t>
      </w:r>
      <w:r w:rsidRPr="003E4C1F">
        <w:rPr>
          <w:rFonts w:asciiTheme="majorHAnsi" w:hAnsiTheme="majorHAnsi" w:cstheme="majorHAnsi"/>
          <w:color w:val="000000" w:themeColor="text1"/>
        </w:rPr>
        <w:t xml:space="preserve"> </w:t>
      </w:r>
      <w:r w:rsidR="000075C2" w:rsidRPr="003E4C1F">
        <w:rPr>
          <w:rFonts w:asciiTheme="majorHAnsi" w:hAnsiTheme="majorHAnsi" w:cstheme="majorHAnsi"/>
          <w:color w:val="000000" w:themeColor="text1"/>
        </w:rPr>
        <w:t>The proposed project addresses a critical gap in the ability of countries in the Southern Cone to identify, assess, and respond to money laundering and terrorist financing (ML/TF) risks in the real estate sector. While real estate markets and financial flows across the region are increasingly integrated, the understanding and assessment of associated ML/TF risks remain fragmented, inconsistent, and not comparable across countries.</w:t>
      </w:r>
    </w:p>
    <w:p w14:paraId="7A8AB791" w14:textId="77777777" w:rsidR="00DD3776" w:rsidRPr="003E4C1F" w:rsidRDefault="000075C2" w:rsidP="000075C2">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Although the sector is widely recognised as vulnerable—particularly given the high volume of transactions involving actors and assets across Argentina, Brazil, Paraguay, and Uruguay—current approaches remain uneven in depth and insufficiently aligned. This limits the effective implementation of risk-based supervision and weakens the ability of authorities to respond to increasingly transnational ML/TF dynamics.</w:t>
      </w:r>
      <w:r w:rsidR="00DD3776" w:rsidRPr="003E4C1F">
        <w:rPr>
          <w:rFonts w:asciiTheme="majorHAnsi" w:hAnsiTheme="majorHAnsi" w:cstheme="majorHAnsi"/>
          <w:color w:val="000000" w:themeColor="text1"/>
        </w:rPr>
        <w:t xml:space="preserve"> </w:t>
      </w:r>
    </w:p>
    <w:p w14:paraId="2C2F2344" w14:textId="4CD741AE" w:rsidR="000075C2" w:rsidRPr="003E4C1F" w:rsidRDefault="008D62C5" w:rsidP="00565486">
      <w:pPr>
        <w:pStyle w:val="NormalWeb"/>
        <w:jc w:val="both"/>
        <w:rPr>
          <w:rFonts w:asciiTheme="majorHAnsi" w:hAnsiTheme="majorHAnsi" w:cstheme="majorHAnsi"/>
          <w:b/>
          <w:bCs/>
          <w:color w:val="000000" w:themeColor="text1"/>
        </w:rPr>
      </w:pPr>
      <w:r w:rsidRPr="003E4C1F">
        <w:rPr>
          <w:rFonts w:asciiTheme="majorHAnsi" w:hAnsiTheme="majorHAnsi" w:cstheme="majorHAnsi"/>
          <w:b/>
          <w:bCs/>
          <w:color w:val="000000" w:themeColor="text1"/>
        </w:rPr>
        <w:t xml:space="preserve">Strategic Relevance: </w:t>
      </w:r>
      <w:r w:rsidR="00DD3776" w:rsidRPr="003E4C1F">
        <w:rPr>
          <w:rFonts w:asciiTheme="majorHAnsi" w:hAnsiTheme="majorHAnsi" w:cstheme="majorHAnsi"/>
          <w:color w:val="000000" w:themeColor="text1"/>
        </w:rPr>
        <w:t>This challenge is further reinforced by the evolution of international evaluation frameworks, which place increasing emphasis on the effectiveness of AML/CFT systems rather than formal compliance alone. In this context, the ability to identify, assess, and mitigate risks in non-financial sectors—particularly the real estate sector—has become a critical component of overall system performance, exposing gaps where sectoral risk understanding remains underdeveloped.</w:t>
      </w:r>
      <w:r w:rsidR="000075C2" w:rsidRPr="003E4C1F">
        <w:rPr>
          <w:rFonts w:asciiTheme="majorHAnsi" w:hAnsiTheme="majorHAnsi" w:cstheme="majorHAnsi"/>
          <w:color w:val="000000" w:themeColor="text1"/>
        </w:rPr>
        <w:t xml:space="preserve"> </w:t>
      </w:r>
    </w:p>
    <w:p w14:paraId="2986DB5D" w14:textId="039EDE4F" w:rsidR="005A5503" w:rsidRPr="003E4C1F" w:rsidRDefault="008D62C5" w:rsidP="00565486">
      <w:pPr>
        <w:pStyle w:val="NormalWeb"/>
        <w:jc w:val="both"/>
        <w:rPr>
          <w:rFonts w:asciiTheme="majorHAnsi" w:hAnsiTheme="majorHAnsi" w:cstheme="majorHAnsi"/>
          <w:color w:val="000000" w:themeColor="text1"/>
        </w:rPr>
      </w:pPr>
      <w:r w:rsidRPr="003E4C1F">
        <w:rPr>
          <w:rFonts w:asciiTheme="majorHAnsi" w:hAnsiTheme="majorHAnsi" w:cstheme="majorHAnsi"/>
          <w:b/>
          <w:bCs/>
          <w:color w:val="000000" w:themeColor="text1"/>
        </w:rPr>
        <w:t>Proposed Approach:</w:t>
      </w:r>
      <w:r w:rsidRPr="003E4C1F">
        <w:rPr>
          <w:rFonts w:asciiTheme="majorHAnsi" w:hAnsiTheme="majorHAnsi" w:cstheme="majorHAnsi"/>
          <w:color w:val="000000" w:themeColor="text1"/>
        </w:rPr>
        <w:t xml:space="preserve"> </w:t>
      </w:r>
      <w:r w:rsidR="0052354A" w:rsidRPr="003E4C1F">
        <w:rPr>
          <w:rFonts w:asciiTheme="majorHAnsi" w:hAnsiTheme="majorHAnsi" w:cstheme="majorHAnsi"/>
          <w:color w:val="000000" w:themeColor="text1"/>
        </w:rPr>
        <w:t xml:space="preserve">To address this, the project will deliver a coordinated package of national sectoral risk assessments in Argentina, Brazil, Paraguay, and Uruguay, alongside a regional analytical component focused on cross-border dynamics. </w:t>
      </w:r>
      <w:r w:rsidR="005A5503" w:rsidRPr="003E4C1F">
        <w:rPr>
          <w:rFonts w:asciiTheme="majorHAnsi" w:hAnsiTheme="majorHAnsi" w:cstheme="majorHAnsi"/>
          <w:color w:val="000000" w:themeColor="text1"/>
        </w:rPr>
        <w:t>The approach has been designed to ensure analytical consistency, comparability across countries, and strong national ownership of the results.</w:t>
      </w:r>
      <w:r w:rsidR="00582EB0">
        <w:rPr>
          <w:rFonts w:asciiTheme="majorHAnsi" w:hAnsiTheme="majorHAnsi" w:cstheme="majorHAnsi"/>
          <w:color w:val="000000" w:themeColor="text1"/>
        </w:rPr>
        <w:t xml:space="preserve"> </w:t>
      </w:r>
      <w:r w:rsidR="00582EB0" w:rsidRPr="00582EB0">
        <w:rPr>
          <w:rFonts w:asciiTheme="majorHAnsi" w:hAnsiTheme="majorHAnsi" w:cstheme="majorHAnsi"/>
          <w:color w:val="000000" w:themeColor="text1"/>
        </w:rPr>
        <w:t>The approach also incorporates a scalable DNFBP framework and a component focused on strengthening data use and information exchange, ensuring that the results can be extended across sectors and jurisdictions.</w:t>
      </w:r>
    </w:p>
    <w:p w14:paraId="53E30A3C" w14:textId="7695D4FF" w:rsidR="00E72C0A" w:rsidRPr="00E72C0A" w:rsidRDefault="00E72C0A" w:rsidP="00E72C0A">
      <w:pPr>
        <w:pStyle w:val="NormalWeb"/>
        <w:jc w:val="both"/>
        <w:rPr>
          <w:rFonts w:asciiTheme="majorHAnsi" w:hAnsiTheme="majorHAnsi" w:cstheme="majorHAnsi"/>
          <w:color w:val="000000" w:themeColor="text1"/>
        </w:rPr>
      </w:pPr>
      <w:r w:rsidRPr="00E72C0A">
        <w:rPr>
          <w:rFonts w:asciiTheme="majorHAnsi" w:hAnsiTheme="majorHAnsi" w:cstheme="majorHAnsi"/>
          <w:b/>
          <w:bCs/>
          <w:color w:val="000000" w:themeColor="text1"/>
        </w:rPr>
        <w:t xml:space="preserve">Outputs and Results: </w:t>
      </w:r>
      <w:r w:rsidRPr="00E72C0A">
        <w:rPr>
          <w:rFonts w:asciiTheme="majorHAnsi" w:hAnsiTheme="majorHAnsi" w:cstheme="majorHAnsi"/>
          <w:color w:val="000000" w:themeColor="text1"/>
        </w:rPr>
        <w:t>The project will deliver a defined set of analytical and operational outputs for the real estate sector, including national risk assessment reports, a regional analytical report, and an executive synthesis with prioritised recommendations. These outputs will provide a practical foundation for strengthening risk-based supervision, improving the consistency of risk indicators and red flags, and enhancing coordination between supervisory authorities, Financial Intelligence Units, and law enforcement.</w:t>
      </w:r>
    </w:p>
    <w:p w14:paraId="22B0E033" w14:textId="77777777" w:rsidR="00E72C0A" w:rsidRDefault="00E72C0A" w:rsidP="00E72C0A">
      <w:pPr>
        <w:pStyle w:val="NormalWeb"/>
        <w:jc w:val="both"/>
        <w:rPr>
          <w:rFonts w:asciiTheme="majorHAnsi" w:hAnsiTheme="majorHAnsi" w:cstheme="majorHAnsi"/>
          <w:color w:val="000000" w:themeColor="text1"/>
        </w:rPr>
      </w:pPr>
      <w:r w:rsidRPr="00E72C0A">
        <w:rPr>
          <w:rFonts w:asciiTheme="majorHAnsi" w:hAnsiTheme="majorHAnsi" w:cstheme="majorHAnsi"/>
          <w:color w:val="000000" w:themeColor="text1"/>
        </w:rPr>
        <w:t xml:space="preserve">They will also support the development of coordinated action at both national and regional levels, including reducing the exploitation of the real estate sector by organised criminal networks. In doing so, the project will promote more consistent engagement between </w:t>
      </w:r>
      <w:r w:rsidRPr="00E72C0A">
        <w:rPr>
          <w:rFonts w:asciiTheme="majorHAnsi" w:hAnsiTheme="majorHAnsi" w:cstheme="majorHAnsi"/>
          <w:color w:val="000000" w:themeColor="text1"/>
        </w:rPr>
        <w:lastRenderedPageBreak/>
        <w:t>supervisory authorities, financial institutions, and DNFBPs, reflecting the interconnected nature of risks and responses in the sector.</w:t>
      </w:r>
    </w:p>
    <w:p w14:paraId="38DBAFDB" w14:textId="21B4731D" w:rsidR="003C68A9" w:rsidRPr="003E4C1F" w:rsidRDefault="008D62C5" w:rsidP="00E72C0A">
      <w:pPr>
        <w:pStyle w:val="NormalWeb"/>
        <w:jc w:val="both"/>
        <w:rPr>
          <w:rFonts w:asciiTheme="majorHAnsi" w:hAnsiTheme="majorHAnsi" w:cstheme="majorHAnsi"/>
          <w:color w:val="000000" w:themeColor="text1"/>
        </w:rPr>
      </w:pPr>
      <w:r w:rsidRPr="003E4C1F">
        <w:rPr>
          <w:rFonts w:asciiTheme="majorHAnsi" w:hAnsiTheme="majorHAnsi" w:cstheme="majorHAnsi"/>
          <w:b/>
          <w:bCs/>
          <w:color w:val="000000" w:themeColor="text1"/>
        </w:rPr>
        <w:t>Regional Process and Institutional Support:</w:t>
      </w:r>
      <w:r w:rsidRPr="003E4C1F">
        <w:rPr>
          <w:rFonts w:asciiTheme="majorHAnsi" w:hAnsiTheme="majorHAnsi" w:cstheme="majorHAnsi"/>
          <w:color w:val="000000" w:themeColor="text1"/>
        </w:rPr>
        <w:t xml:space="preserve"> </w:t>
      </w:r>
      <w:r w:rsidR="00BE62ED" w:rsidRPr="003E4C1F">
        <w:rPr>
          <w:rFonts w:asciiTheme="majorHAnsi" w:hAnsiTheme="majorHAnsi" w:cstheme="majorHAnsi"/>
          <w:color w:val="000000" w:themeColor="text1"/>
        </w:rPr>
        <w:t>The proposal builds on an established process of regional cooperation</w:t>
      </w:r>
      <w:r w:rsidR="00A75E4F" w:rsidRPr="003E4C1F">
        <w:rPr>
          <w:rFonts w:asciiTheme="majorHAnsi" w:hAnsiTheme="majorHAnsi" w:cstheme="majorHAnsi"/>
          <w:color w:val="000000" w:themeColor="text1"/>
        </w:rPr>
        <w:t xml:space="preserve"> supported by GovRisk between 2020-2025</w:t>
      </w:r>
      <w:r w:rsidR="00BE62ED" w:rsidRPr="003E4C1F">
        <w:rPr>
          <w:rFonts w:asciiTheme="majorHAnsi" w:hAnsiTheme="majorHAnsi" w:cstheme="majorHAnsi"/>
          <w:color w:val="000000" w:themeColor="text1"/>
        </w:rPr>
        <w:t xml:space="preserve">. </w:t>
      </w:r>
      <w:r w:rsidR="00A75E4F" w:rsidRPr="003E4C1F">
        <w:rPr>
          <w:rFonts w:asciiTheme="majorHAnsi" w:hAnsiTheme="majorHAnsi" w:cstheme="majorHAnsi"/>
          <w:color w:val="000000" w:themeColor="text1"/>
        </w:rPr>
        <w:t>This included a</w:t>
      </w:r>
      <w:r w:rsidR="00BE62ED" w:rsidRPr="003E4C1F">
        <w:rPr>
          <w:rFonts w:asciiTheme="majorHAnsi" w:hAnsiTheme="majorHAnsi" w:cstheme="majorHAnsi"/>
          <w:color w:val="000000" w:themeColor="text1"/>
        </w:rPr>
        <w:t xml:space="preserve"> series of regional workshops and technical engagements convened supervisory authorities, Financial Intelligence Units, and private-sector stakeholders from across the Tri-Border Area to address vulnerabilities in the real estate sector and broader DNFBP landscape. </w:t>
      </w:r>
    </w:p>
    <w:p w14:paraId="360E9642" w14:textId="30D36523" w:rsidR="00BE62ED" w:rsidRPr="003E4C1F" w:rsidRDefault="00BE62ED" w:rsidP="00565486">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These engagements culminated in a high-level regional meeting in December 2025, attended by over 300 participants, where participating institutions agreed that a coordinated regional sectoral risk assessment represents the priority next step to consolidate reforms and address cross-border risks. Formal letters of support from key partner institutions further demonstrate strong demand and commitment to implementation.</w:t>
      </w:r>
    </w:p>
    <w:p w14:paraId="68A732E6" w14:textId="2BC8B0D2" w:rsidR="00BE62ED" w:rsidRPr="003E4C1F" w:rsidRDefault="008D62C5" w:rsidP="00565486">
      <w:pPr>
        <w:pStyle w:val="NormalWeb"/>
        <w:jc w:val="both"/>
        <w:rPr>
          <w:rFonts w:asciiTheme="majorHAnsi" w:hAnsiTheme="majorHAnsi" w:cstheme="majorHAnsi"/>
          <w:b/>
          <w:bCs/>
          <w:color w:val="000000" w:themeColor="text1"/>
        </w:rPr>
      </w:pPr>
      <w:r w:rsidRPr="003E4C1F">
        <w:rPr>
          <w:rFonts w:asciiTheme="majorHAnsi" w:hAnsiTheme="majorHAnsi" w:cstheme="majorHAnsi"/>
          <w:b/>
          <w:bCs/>
          <w:color w:val="000000" w:themeColor="text1"/>
        </w:rPr>
        <w:t xml:space="preserve">Implementation Capacity: </w:t>
      </w:r>
      <w:r w:rsidR="00BE62ED" w:rsidRPr="003E4C1F">
        <w:rPr>
          <w:rFonts w:asciiTheme="majorHAnsi" w:hAnsiTheme="majorHAnsi" w:cstheme="majorHAnsi"/>
          <w:color w:val="000000" w:themeColor="text1"/>
        </w:rPr>
        <w:t xml:space="preserve">GovRisk is uniquely positioned to deliver this project, drawing on its extensive experience in AML/CFT technical assistance across Latin America and its central role in the 2021–2025 </w:t>
      </w:r>
      <w:r w:rsidR="00A75E4F" w:rsidRPr="003E4C1F">
        <w:rPr>
          <w:rFonts w:asciiTheme="majorHAnsi" w:hAnsiTheme="majorHAnsi" w:cstheme="majorHAnsi"/>
          <w:color w:val="000000" w:themeColor="text1"/>
        </w:rPr>
        <w:t xml:space="preserve">U.S. State Department </w:t>
      </w:r>
      <w:r w:rsidR="00BE62ED" w:rsidRPr="003E4C1F">
        <w:rPr>
          <w:rFonts w:asciiTheme="majorHAnsi" w:hAnsiTheme="majorHAnsi" w:cstheme="majorHAnsi"/>
          <w:color w:val="000000" w:themeColor="text1"/>
        </w:rPr>
        <w:t xml:space="preserve">Tri-Border </w:t>
      </w:r>
      <w:r w:rsidR="00A75E4F" w:rsidRPr="003E4C1F">
        <w:rPr>
          <w:rFonts w:asciiTheme="majorHAnsi" w:hAnsiTheme="majorHAnsi" w:cstheme="majorHAnsi"/>
          <w:color w:val="000000" w:themeColor="text1"/>
        </w:rPr>
        <w:t xml:space="preserve">AML/CFT </w:t>
      </w:r>
      <w:r w:rsidR="00BE62ED" w:rsidRPr="003E4C1F">
        <w:rPr>
          <w:rFonts w:asciiTheme="majorHAnsi" w:hAnsiTheme="majorHAnsi" w:cstheme="majorHAnsi"/>
          <w:color w:val="000000" w:themeColor="text1"/>
        </w:rPr>
        <w:t>programme. Its work in strengthening real estate sector regulation, supervision, and regional coordination provides a strong foundation for the proposed intervention. Combined with established institutional relationships and continuity of expert teams, this ensures both efficient delivery and sustained institutional impact.</w:t>
      </w:r>
    </w:p>
    <w:p w14:paraId="36E67411" w14:textId="0CC637C8" w:rsidR="007E4C36" w:rsidRPr="003E4C1F" w:rsidRDefault="00E06023" w:rsidP="00565486">
      <w:pPr>
        <w:jc w:val="both"/>
        <w:rPr>
          <w:rFonts w:asciiTheme="majorHAnsi" w:hAnsiTheme="majorHAnsi" w:cstheme="majorHAnsi"/>
          <w:color w:val="000000" w:themeColor="text1"/>
        </w:rPr>
      </w:pPr>
      <w:r>
        <w:rPr>
          <w:noProof/>
        </w:rPr>
      </w:r>
      <w:r>
        <w:pict w14:anchorId="01CA94F4">
          <v:rect id="Horizontal Line 1" o:spid="_x0000_s103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1FF824C" w14:textId="77777777" w:rsidR="007E4C36" w:rsidRPr="003E4C1F" w:rsidRDefault="00000000" w:rsidP="00565486">
      <w:pPr>
        <w:pStyle w:val="Heading1"/>
        <w:jc w:val="both"/>
        <w:rPr>
          <w:rFonts w:cstheme="majorHAnsi"/>
          <w:color w:val="000000" w:themeColor="text1"/>
        </w:rPr>
      </w:pPr>
      <w:r w:rsidRPr="003E4C1F">
        <w:rPr>
          <w:rFonts w:cstheme="majorHAnsi"/>
          <w:color w:val="000000" w:themeColor="text1"/>
        </w:rPr>
        <w:t>B. Diagnosis / Problem Definition</w:t>
      </w:r>
    </w:p>
    <w:p w14:paraId="1135056A" w14:textId="5C45DD89" w:rsidR="00582EB0" w:rsidRPr="00582EB0" w:rsidRDefault="00582EB0" w:rsidP="00582EB0">
      <w:pPr>
        <w:pStyle w:val="NormalWeb"/>
        <w:jc w:val="both"/>
        <w:rPr>
          <w:rFonts w:asciiTheme="majorHAnsi" w:hAnsiTheme="majorHAnsi" w:cstheme="majorHAnsi"/>
          <w:color w:val="000000" w:themeColor="text1"/>
        </w:rPr>
      </w:pPr>
      <w:r w:rsidRPr="00582EB0">
        <w:rPr>
          <w:rFonts w:asciiTheme="majorHAnsi" w:hAnsiTheme="majorHAnsi" w:cstheme="majorHAnsi"/>
          <w:color w:val="000000" w:themeColor="text1"/>
        </w:rPr>
        <w:t>Strengthening the financial integrity of States and their capacity to prevent and combat money laundering and terrorist financing (ML/TF) is central to economic stability, market confidence, and the consolidation of the rule of law in Latin America. In the Southern Cone (Argentina, Brazil, Uruguay and Paraguay), significant progress has been made in strengthening regulatory frameworks and institutional capacities. However, GAFILAT Mutual Evaluations for Uruguay (2020), Paraguay (2022), Brazil (2023), and Argentina (2024) consistently highlight persistent challenges in the effectiveness of these systems.</w:t>
      </w:r>
    </w:p>
    <w:p w14:paraId="4643F6AF" w14:textId="77777777" w:rsidR="00075572" w:rsidRDefault="00582EB0" w:rsidP="00582EB0">
      <w:pPr>
        <w:pStyle w:val="NormalWeb"/>
        <w:jc w:val="both"/>
        <w:rPr>
          <w:rFonts w:asciiTheme="majorHAnsi" w:hAnsiTheme="majorHAnsi" w:cstheme="majorHAnsi"/>
          <w:color w:val="000000" w:themeColor="text1"/>
        </w:rPr>
      </w:pPr>
      <w:r w:rsidRPr="00582EB0">
        <w:rPr>
          <w:rFonts w:asciiTheme="majorHAnsi" w:hAnsiTheme="majorHAnsi" w:cstheme="majorHAnsi"/>
          <w:color w:val="000000" w:themeColor="text1"/>
        </w:rPr>
        <w:t>These assessments converge on a common diagnosis: a structural gap between the scale and sophistication of illicit economies—particularly drug trafficking, corruption, smuggling, and tax crimes—and the capacity of institutional systems to detect, investigate, and dismantle associated financial flows. This gap is reflected in limited asset recovery, weak translation of financial intelligence into operational results, and insufficient prioritisation of high-risk sectors.</w:t>
      </w:r>
    </w:p>
    <w:p w14:paraId="745CA1BA" w14:textId="385B7529" w:rsidR="00241699" w:rsidRPr="003E4C1F" w:rsidRDefault="00241699" w:rsidP="00582EB0">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 xml:space="preserve">In the case of Argentina, for example, the Mutual Evaluation 2024 reports 91 convictions for money laundering, a figure that is modest compared to the estimated volumes of illicit flows; </w:t>
      </w:r>
      <w:r w:rsidRPr="003E4C1F">
        <w:rPr>
          <w:rFonts w:asciiTheme="majorHAnsi" w:hAnsiTheme="majorHAnsi" w:cstheme="majorHAnsi"/>
          <w:color w:val="000000" w:themeColor="text1"/>
        </w:rPr>
        <w:lastRenderedPageBreak/>
        <w:t>while in Paraguay (2022) and Brazil (2023) similar challenges are identified in the conversion of intelligence into investigations and effective seizures.</w:t>
      </w:r>
    </w:p>
    <w:p w14:paraId="01623542" w14:textId="77777777" w:rsidR="00241699" w:rsidRPr="003E4C1F" w:rsidRDefault="00241699" w:rsidP="005847F3">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A particularly critical element that emerges cross-cutting across the four countries is the insufficient understanding and management of risk in non-financial sectors, specifically in designated non-financial activities and professions (DNFBPs). Although financial systems have reached relatively higher levels of maturity in the implementation of the risk-based approach, GAFILAT evaluations highlight that this logic has not been fully internalized in sectors such as real estate, where weaknesses persist in supervision, in the availability of information and in the identification of beneficial owners. In Uruguay (2020), for example, it is noted that the understanding of risk in these sectors is significantly more limited and that the information available during the national risk assessment was insufficient; in Brazil (2023), gaps in the transparency of legal structures are identified; and in Paraguay (2022), concrete evidence of the use of real estate to hide illicit assets is documented, as in the "Cabeza Branca" case, which involved more than 100 properties.</w:t>
      </w:r>
    </w:p>
    <w:p w14:paraId="12B4BDBA" w14:textId="77777777" w:rsidR="00241699" w:rsidRPr="003E4C1F" w:rsidRDefault="00241699" w:rsidP="002C1126">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In this context, the real estate sector acquires strategic relevance as a potential vector for the integration of illicit capital. Its ability to absorb large volumes of resources, its link with complex corporate structures and the difficulties inherent in the traceability of transactions position it as a particularly vulnerable space within national economies. However, despite this exposure, the four countries lack a comprehensive, systematic and evidence-based analysis that allows dimensioning, characterizing and prioritizing the specific risks associated with this sector. This absence constitutes a critical limitation for the effective implementation of the risk-based approach, restricting the capacity of States to design differentiated public policies, focus supervision, strengthen the detection of suspicious transactions, and improve the articulation between financial intelligence, asset intelligence, and criminal investigation.</w:t>
      </w:r>
    </w:p>
    <w:p w14:paraId="7784CB10" w14:textId="671DB01E" w:rsidR="00241699" w:rsidRPr="003E4C1F" w:rsidRDefault="00241699" w:rsidP="00FC27AD">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From a regional perspective, the need for such intervention is reinforced by the transnational nature of the threats affecting the countries of the Southern Cone. The illicit economies that generate laundered capital flows, particularly drug trafficking and smuggling, operate through networks that transcend borders and use multiple jurisdictions for asset placement, stratification, and integration. In this scenario, the real estate sector can function as a convergence point for the investment of illicit resources at the regional level, taking advantage of regulatory asymmetries and differences in the levels of supervision and transparency. The absence of a comparative and articulated understanding of these risks limits the ability of countries to respond in a coordinated and effective manner.</w:t>
      </w:r>
    </w:p>
    <w:p w14:paraId="0DB8E540" w14:textId="77777777" w:rsidR="00241699" w:rsidRPr="003E4C1F" w:rsidRDefault="00241699" w:rsidP="00D603FC">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In this framework, this proposal is justified as a strategic intervention aimed at closing a structural gap in the region's financial integrity architecture. The development of a risk analysis of the real estate sector in Argentina, Brazil, Uruguay and Paraguay will generate robust evidence for decision-making, strengthen the implementation of the risk-based approach in non-financial sectors and improve the capacity of States to identify, trace and recover illicit assets. It will also contribute to strengthening regional cooperation, by identifying common patterns, shared typologies and cross-border risks, aligning institutional responses with the nature of the threats.</w:t>
      </w:r>
    </w:p>
    <w:p w14:paraId="3F8879AA" w14:textId="77777777" w:rsidR="00241699" w:rsidRPr="003E4C1F" w:rsidRDefault="00241699" w:rsidP="00CB0450">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lastRenderedPageBreak/>
        <w:t>This proposal is directly aligned with the strategic priorities of the Inter-American Development Bank in terms of strengthening financial integrity, economic transparency and combating illicit economies, as well as with GAFILAT's recommendations aimed at improving the effectiveness of AML/CFT systems, particularly in the implementation of the risk-based approach and the supervision of non-financial sectors. Ultimately, the initiative will help to consolidate more transparent markets, reduce incentives for the infiltration of illicit capital into the formal economy, and strengthen countries' institutional capacities to more effectively confront the threats of organized crime.</w:t>
      </w:r>
    </w:p>
    <w:p w14:paraId="1EE22157" w14:textId="77777777" w:rsidR="00241699" w:rsidRPr="003E4C1F" w:rsidRDefault="00241699" w:rsidP="00D806D8">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In sum, the absence of a deep and systematic understanding of the risk of money laundering in the real estate sector constitutes a critical blind spot that limits the effectiveness of AML/CFT systems in the Southern Cone. Addressing this gap through a regional, evidence-based, and results-oriented approach represents a strategic opportunity to move towards stronger, coherent, and more effective systems in protecting the region's economic and financial integrity.</w:t>
      </w:r>
    </w:p>
    <w:p w14:paraId="64E62EBA" w14:textId="77777777" w:rsidR="001B5091" w:rsidRPr="003E4C1F" w:rsidRDefault="00E06023" w:rsidP="00565486">
      <w:pPr>
        <w:jc w:val="both"/>
        <w:rPr>
          <w:rFonts w:asciiTheme="majorHAnsi" w:hAnsiTheme="majorHAnsi" w:cstheme="majorHAnsi"/>
          <w:color w:val="000000" w:themeColor="text1"/>
        </w:rPr>
      </w:pPr>
      <w:r>
        <w:rPr>
          <w:noProof/>
        </w:rPr>
      </w:r>
      <w:r>
        <w:pict w14:anchorId="68590396">
          <v:rect id="Horizontal Line 2" o:spid="_x0000_s103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D9B715B" w14:textId="53D83897" w:rsidR="001B5091" w:rsidRPr="003E4C1F" w:rsidRDefault="001B5091" w:rsidP="00565486">
      <w:pPr>
        <w:pStyle w:val="Heading2"/>
        <w:jc w:val="both"/>
        <w:rPr>
          <w:rFonts w:cstheme="majorHAnsi"/>
          <w:color w:val="000000" w:themeColor="text1"/>
        </w:rPr>
      </w:pPr>
      <w:commentRangeStart w:id="0"/>
      <w:r w:rsidRPr="003E4C1F">
        <w:rPr>
          <w:rStyle w:val="Strong"/>
          <w:rFonts w:cstheme="majorHAnsi"/>
          <w:b/>
          <w:bCs/>
          <w:color w:val="000000" w:themeColor="text1"/>
        </w:rPr>
        <w:t>Structural Vulnerabilities and Regional Evidence</w:t>
      </w:r>
      <w:commentRangeEnd w:id="0"/>
      <w:r w:rsidR="003E4C1F" w:rsidRPr="003E4C1F">
        <w:rPr>
          <w:rStyle w:val="CommentReference"/>
          <w:rFonts w:cstheme="majorHAnsi"/>
          <w:color w:val="000000" w:themeColor="text1"/>
          <w:sz w:val="26"/>
          <w:szCs w:val="26"/>
        </w:rPr>
        <w:commentReference w:id="0"/>
      </w:r>
    </w:p>
    <w:p w14:paraId="57280B2D" w14:textId="77777777" w:rsidR="007E3D90" w:rsidRPr="007E3D90" w:rsidRDefault="007E3D90" w:rsidP="007E3D90">
      <w:pPr>
        <w:pStyle w:val="NormalWeb"/>
        <w:jc w:val="both"/>
        <w:rPr>
          <w:rFonts w:asciiTheme="majorHAnsi" w:hAnsiTheme="majorHAnsi" w:cstheme="majorHAnsi"/>
          <w:color w:val="000000" w:themeColor="text1"/>
        </w:rPr>
      </w:pPr>
      <w:r w:rsidRPr="007E3D90">
        <w:rPr>
          <w:rFonts w:asciiTheme="majorHAnsi" w:hAnsiTheme="majorHAnsi" w:cstheme="majorHAnsi"/>
          <w:color w:val="000000" w:themeColor="text1"/>
        </w:rPr>
        <w:t>The real estate sector in Latin America is configured as one of the most critical spaces within the dynamics of money laundering (ML) and terrorist financing (TF), not only because of its operational characteristics, but also due to its integration within broader economic structures that facilitate the circulation, concealment, and integration of illicit resources. The accumulated evidence from international organizations, particularly the Financial Action Task Force (FATF) and the Financial Action Task Force of Latin America (GAFILAT), as well as judicial investigations in the region, allows us to affirm that this sector is not only vulnerable, but also constitutes a functional component within the financial ecosystems of organized crime.</w:t>
      </w:r>
    </w:p>
    <w:p w14:paraId="3641A1D4" w14:textId="77777777" w:rsidR="007E3D90" w:rsidRPr="007E3D90" w:rsidRDefault="007E3D90" w:rsidP="007E3D90">
      <w:pPr>
        <w:pStyle w:val="NormalWeb"/>
        <w:jc w:val="both"/>
        <w:rPr>
          <w:rFonts w:asciiTheme="majorHAnsi" w:hAnsiTheme="majorHAnsi" w:cstheme="majorHAnsi"/>
          <w:color w:val="000000" w:themeColor="text1"/>
        </w:rPr>
      </w:pPr>
      <w:r w:rsidRPr="007E3D90">
        <w:rPr>
          <w:rFonts w:asciiTheme="majorHAnsi" w:hAnsiTheme="majorHAnsi" w:cstheme="majorHAnsi"/>
          <w:color w:val="000000" w:themeColor="text1"/>
        </w:rPr>
        <w:t>From a structural perspective, the attractiveness of the real estate sector for money laundering lies in its ability to transform large volumes of capital into assets with an appearance of legitimacy and relative stability over time. Unlike other economic sectors, real estate transactions allow for the integration of significant amounts in individual operations, which reduces the need to fragment illicit funds into multiple transactions and, therefore, decreases exposure to detection risk. This feature has been identified by the FATF as one of the main reasons why the real estate sector is repeatedly used for the integration phase of money laundering (FATF, Money Laundering and Terrorist Financing through the Real Estate Sector).</w:t>
      </w:r>
    </w:p>
    <w:p w14:paraId="0EEA0BC0" w14:textId="77777777" w:rsidR="007E3D90" w:rsidRPr="007E3D90" w:rsidRDefault="007E3D90" w:rsidP="007E3D90">
      <w:pPr>
        <w:pStyle w:val="NormalWeb"/>
        <w:jc w:val="both"/>
        <w:rPr>
          <w:rFonts w:asciiTheme="majorHAnsi" w:hAnsiTheme="majorHAnsi" w:cstheme="majorHAnsi"/>
          <w:color w:val="000000" w:themeColor="text1"/>
        </w:rPr>
      </w:pPr>
      <w:r w:rsidRPr="007E3D90">
        <w:rPr>
          <w:rFonts w:asciiTheme="majorHAnsi" w:hAnsiTheme="majorHAnsi" w:cstheme="majorHAnsi"/>
          <w:color w:val="000000" w:themeColor="text1"/>
        </w:rPr>
        <w:t>However, beyond transaction volume, the sector presents an even more critical characteristic: its ability to convert liquidity of illicit origin—frequently generated in informal or criminal economies—into tangible assets that are fully integrated into the formal economy. This process not only allows the origin of funds to be concealed, but also confers an appearance of legitimacy, facilitating their subsequent use in legal economic activities. In this sense, the real estate sector acts as a bridge between illicit and formal economies, playing a key role in the asset consolidation of criminal organizations.</w:t>
      </w:r>
    </w:p>
    <w:p w14:paraId="43D16E09" w14:textId="77777777" w:rsidR="007E3D90" w:rsidRPr="007E3D90" w:rsidRDefault="007E3D90" w:rsidP="007E3D90">
      <w:pPr>
        <w:pStyle w:val="NormalWeb"/>
        <w:jc w:val="both"/>
        <w:rPr>
          <w:rFonts w:asciiTheme="majorHAnsi" w:hAnsiTheme="majorHAnsi" w:cstheme="majorHAnsi"/>
          <w:color w:val="000000" w:themeColor="text1"/>
        </w:rPr>
      </w:pPr>
      <w:r w:rsidRPr="007E3D90">
        <w:rPr>
          <w:rFonts w:asciiTheme="majorHAnsi" w:hAnsiTheme="majorHAnsi" w:cstheme="majorHAnsi"/>
          <w:color w:val="000000" w:themeColor="text1"/>
        </w:rPr>
        <w:lastRenderedPageBreak/>
        <w:t>To this function is added its role as a mechanism for storing and increasing wealth. Real estate allows criminal organizations to preserve value over the long term, protect themselves against the volatility of other assets, and, in many cases, generate additional income streams through rentals or developments. This element is particularly relevant in contexts of macroeconomic instability or high inflation, such as those observed in some countries in the region, where the real estate sector becomes a refuge for both licit and illicit capital, making it difficult to distinguish between the two.</w:t>
      </w:r>
    </w:p>
    <w:p w14:paraId="54772C54" w14:textId="77777777" w:rsidR="007E3D90" w:rsidRPr="007E3D90" w:rsidRDefault="007E3D90" w:rsidP="007E3D90">
      <w:pPr>
        <w:pStyle w:val="NormalWeb"/>
        <w:jc w:val="both"/>
        <w:rPr>
          <w:rFonts w:asciiTheme="majorHAnsi" w:hAnsiTheme="majorHAnsi" w:cstheme="majorHAnsi"/>
          <w:color w:val="000000" w:themeColor="text1"/>
        </w:rPr>
      </w:pPr>
      <w:r w:rsidRPr="007E3D90">
        <w:rPr>
          <w:rFonts w:asciiTheme="majorHAnsi" w:hAnsiTheme="majorHAnsi" w:cstheme="majorHAnsi"/>
          <w:color w:val="000000" w:themeColor="text1"/>
        </w:rPr>
        <w:t>Another key structural dimension is the operational and legal complexity of the sector, which facilitates the concealment of the true ownership of assets. Real estate transactions often involve multiple actors—real estate agents, notaries, lawyers, developers, financial institutions—and a variety of legal instruments, including companies, trusts, and transnational corporate structures. This multiplicity of intermediaries and legal vehicles creates spaces of opacity that can be exploited to hide the ultimate beneficial owner of transactions. GAFILAT Mutual Evaluations, particularly in Brazil (2023), have highlighted limitations in the transparency and availability of beneficial ownership information as a factor that increases risk in these types of transactions.</w:t>
      </w:r>
    </w:p>
    <w:p w14:paraId="7AEC8348" w14:textId="77777777" w:rsidR="007E3D90" w:rsidRPr="007E3D90" w:rsidRDefault="007E3D90" w:rsidP="007E3D90">
      <w:pPr>
        <w:pStyle w:val="NormalWeb"/>
        <w:jc w:val="both"/>
        <w:rPr>
          <w:rFonts w:asciiTheme="majorHAnsi" w:hAnsiTheme="majorHAnsi" w:cstheme="majorHAnsi"/>
          <w:color w:val="000000" w:themeColor="text1"/>
        </w:rPr>
      </w:pPr>
      <w:r w:rsidRPr="007E3D90">
        <w:rPr>
          <w:rFonts w:asciiTheme="majorHAnsi" w:hAnsiTheme="majorHAnsi" w:cstheme="majorHAnsi"/>
          <w:color w:val="000000" w:themeColor="text1"/>
        </w:rPr>
        <w:t>In this context, the real estate sector cannot be analyzed in isolation, but rather as part of an interconnected risk environment in which the financial system, DNFBPs, and illicit economies converge. The flows of money entering the real estate sector often have previously passed through other layers of the economic system, including financial institutions, shell companies, and informal value transfer networks. This interconnection allows criminal organizations to diversify their laundering strategies, using different channels in a complementary manner to reduce detection risk. For example, funds derived from drug trafficking may initially be placed in the financial system through structured operations, subsequently channeled through shell companies, and finally invested in real estate, thus completing the laundering cycle.</w:t>
      </w:r>
    </w:p>
    <w:p w14:paraId="5E754928" w14:textId="77777777" w:rsidR="007E3D90" w:rsidRPr="007E3D90" w:rsidRDefault="007E3D90" w:rsidP="007E3D90">
      <w:pPr>
        <w:pStyle w:val="NormalWeb"/>
        <w:jc w:val="both"/>
        <w:rPr>
          <w:rFonts w:asciiTheme="majorHAnsi" w:hAnsiTheme="majorHAnsi" w:cstheme="majorHAnsi"/>
          <w:color w:val="000000" w:themeColor="text1"/>
        </w:rPr>
      </w:pPr>
      <w:r w:rsidRPr="007E3D90">
        <w:rPr>
          <w:rFonts w:asciiTheme="majorHAnsi" w:hAnsiTheme="majorHAnsi" w:cstheme="majorHAnsi"/>
          <w:color w:val="000000" w:themeColor="text1"/>
        </w:rPr>
        <w:t>Regional evidence confirms the centrality of the real estate sector in these dynamics. The GAFILAT Regional Threat Assessment Update (2022–2023) identifies the sector as one of the most frequently used for money laundering in Latin America, noting that approximately 12% of the judicial cases analyzed involve the real estate sector. This figure is particularly significant considering that prosecuted cases represent only a fraction of actual operations, suggesting that the sector’s incidence could be considerably higher. Moreover, the recurrence of the sector across different typologies and jurisdictions indicates that its use is not incidental, but systematic.</w:t>
      </w:r>
    </w:p>
    <w:p w14:paraId="548461DD" w14:textId="77777777" w:rsidR="007E3D90" w:rsidRPr="007E3D90" w:rsidRDefault="007E3D90" w:rsidP="007E3D90">
      <w:pPr>
        <w:pStyle w:val="NormalWeb"/>
        <w:jc w:val="both"/>
        <w:rPr>
          <w:rFonts w:asciiTheme="majorHAnsi" w:hAnsiTheme="majorHAnsi" w:cstheme="majorHAnsi"/>
          <w:color w:val="000000" w:themeColor="text1"/>
        </w:rPr>
      </w:pPr>
      <w:r w:rsidRPr="007E3D90">
        <w:rPr>
          <w:rFonts w:asciiTheme="majorHAnsi" w:hAnsiTheme="majorHAnsi" w:cstheme="majorHAnsi"/>
          <w:color w:val="000000" w:themeColor="text1"/>
        </w:rPr>
        <w:t>Money laundering typologies associated with the real estate sector present recurring and highly sophisticated patterns. Among the most common are the use of shell companies to acquire properties, the use of nominees to conceal the identity of the true owner, the creation of multi-layered corporate structures across jurisdictions, and the use of cash transactions to avoid financial traceability. Additionally, manipulation of property values—through undervaluation or overvaluation—allows the artificial adjustment of transaction amounts to integrate specific quantities of illicit funds or generate apparent profits. These practices not only facilitate money laundering, but also distort real estate markets and affect economic competition.</w:t>
      </w:r>
    </w:p>
    <w:p w14:paraId="75AB4F6C" w14:textId="77777777" w:rsidR="007E3D90" w:rsidRPr="007E3D90" w:rsidRDefault="007E3D90" w:rsidP="007E3D90">
      <w:pPr>
        <w:pStyle w:val="NormalWeb"/>
        <w:jc w:val="both"/>
        <w:rPr>
          <w:rFonts w:asciiTheme="majorHAnsi" w:hAnsiTheme="majorHAnsi" w:cstheme="majorHAnsi"/>
          <w:color w:val="000000" w:themeColor="text1"/>
        </w:rPr>
      </w:pPr>
      <w:r w:rsidRPr="007E3D90">
        <w:rPr>
          <w:rFonts w:asciiTheme="majorHAnsi" w:hAnsiTheme="majorHAnsi" w:cstheme="majorHAnsi"/>
          <w:color w:val="000000" w:themeColor="text1"/>
        </w:rPr>
        <w:lastRenderedPageBreak/>
        <w:t>The construction and real estate development segment introduces an additional layer of complexity. Unlike direct purchase transactions, development projects involve continuous financial flows, multiple investors, and an extensive value chain that may include suppliers, contractors, and subcontractors. This structure allows the gradual introduction of illicit funds over time, making detection more difficult and facilitating their progressive integration. Additionally, the costs associated with these projects can be inflated or manipulated to justify the incorporation of additional capital of illicit origin.</w:t>
      </w:r>
    </w:p>
    <w:p w14:paraId="4812D0E7" w14:textId="77777777" w:rsidR="007E3D90" w:rsidRPr="007E3D90" w:rsidRDefault="007E3D90" w:rsidP="007E3D90">
      <w:pPr>
        <w:pStyle w:val="NormalWeb"/>
        <w:jc w:val="both"/>
        <w:rPr>
          <w:rFonts w:asciiTheme="majorHAnsi" w:hAnsiTheme="majorHAnsi" w:cstheme="majorHAnsi"/>
          <w:color w:val="000000" w:themeColor="text1"/>
        </w:rPr>
      </w:pPr>
      <w:r w:rsidRPr="007E3D90">
        <w:rPr>
          <w:rFonts w:asciiTheme="majorHAnsi" w:hAnsiTheme="majorHAnsi" w:cstheme="majorHAnsi"/>
          <w:color w:val="000000" w:themeColor="text1"/>
        </w:rPr>
        <w:t>The relationship between the real estate sector and organized crime has been widely documented in the region. In Brazil, judicial investigations have demonstrated how organizations such as the Primeiro Comando da Capital (PCC) and the Comando Vermelho (CV) use the real estate sector as part of their financial strategies, not only to launder money, but also to diversify their assets, consolidate their economic power, and ensure the long-term sustainability of their operations. This type of evidence confirms that the real estate sector is not merely a passive channel, but a strategic instrument within criminal economies.</w:t>
      </w:r>
    </w:p>
    <w:p w14:paraId="14E512B3" w14:textId="77777777" w:rsidR="007E3D90" w:rsidRPr="007E3D90" w:rsidRDefault="007E3D90" w:rsidP="007E3D90">
      <w:pPr>
        <w:pStyle w:val="NormalWeb"/>
        <w:jc w:val="both"/>
        <w:rPr>
          <w:rFonts w:asciiTheme="majorHAnsi" w:hAnsiTheme="majorHAnsi" w:cstheme="majorHAnsi"/>
          <w:color w:val="000000" w:themeColor="text1"/>
        </w:rPr>
      </w:pPr>
      <w:r w:rsidRPr="007E3D90">
        <w:rPr>
          <w:rFonts w:asciiTheme="majorHAnsi" w:hAnsiTheme="majorHAnsi" w:cstheme="majorHAnsi"/>
          <w:color w:val="000000" w:themeColor="text1"/>
        </w:rPr>
        <w:t>From a macro-criminality perspective, the real estate sector forms part of a broader economic infrastructure that enables criminal organizations to operate in a sustained manner. In this framework, real estate assets represent not only assets, but also tools for territorial control, social legitimization, and infiltration into local economies. For example, the acquisition of properties in certain areas may facilitate control over illicit markets or the establishment of logistical networks for criminal activities.</w:t>
      </w:r>
    </w:p>
    <w:p w14:paraId="330B1C45" w14:textId="77777777" w:rsidR="007E3D90" w:rsidRPr="007E3D90" w:rsidRDefault="007E3D90" w:rsidP="007E3D90">
      <w:pPr>
        <w:pStyle w:val="NormalWeb"/>
        <w:jc w:val="both"/>
        <w:rPr>
          <w:rFonts w:asciiTheme="majorHAnsi" w:hAnsiTheme="majorHAnsi" w:cstheme="majorHAnsi"/>
          <w:color w:val="000000" w:themeColor="text1"/>
        </w:rPr>
      </w:pPr>
      <w:r w:rsidRPr="007E3D90">
        <w:rPr>
          <w:rFonts w:asciiTheme="majorHAnsi" w:hAnsiTheme="majorHAnsi" w:cstheme="majorHAnsi"/>
          <w:color w:val="000000" w:themeColor="text1"/>
        </w:rPr>
        <w:t>In sum, the structural vulnerabilities of the real estate sector, combined with the empirical evidence available at the regional level, demonstrate that this sector occupies a central position in money laundering dynamics in Latin America. Its analysis requires an approach that integrates economic, legal, and criminal dimensions, and that recognizes its role within broader systems of illicit wealth generation and circulation. A deep understanding of these vulnerabilities is an essential step for the design of effective public policies, risk-based supervisory strategies, and regional cooperation mechanisms that can substantially reduce the capacity of criminal organizations to operate within the formal economy.</w:t>
      </w:r>
    </w:p>
    <w:p w14:paraId="271A6AAC" w14:textId="77777777" w:rsidR="001B5091" w:rsidRPr="003E4C1F" w:rsidRDefault="00E06023" w:rsidP="00565486">
      <w:pPr>
        <w:jc w:val="both"/>
        <w:rPr>
          <w:rFonts w:asciiTheme="majorHAnsi" w:hAnsiTheme="majorHAnsi" w:cstheme="majorHAnsi"/>
          <w:color w:val="000000" w:themeColor="text1"/>
        </w:rPr>
      </w:pPr>
      <w:r>
        <w:rPr>
          <w:noProof/>
        </w:rPr>
      </w:r>
      <w:r>
        <w:pict w14:anchorId="56FF03E3">
          <v:rect id="Horizontal Line 3" o:spid="_x0000_s103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B7B0DB8" w14:textId="7426171C" w:rsidR="001B5091" w:rsidRPr="003E4C1F" w:rsidRDefault="001B5091" w:rsidP="00565486">
      <w:pPr>
        <w:pStyle w:val="Heading2"/>
        <w:jc w:val="both"/>
        <w:rPr>
          <w:rFonts w:cstheme="majorHAnsi"/>
          <w:color w:val="000000" w:themeColor="text1"/>
        </w:rPr>
      </w:pPr>
      <w:r w:rsidRPr="003E4C1F">
        <w:rPr>
          <w:rStyle w:val="Strong"/>
          <w:rFonts w:cstheme="majorHAnsi"/>
          <w:b/>
          <w:bCs/>
          <w:color w:val="000000" w:themeColor="text1"/>
        </w:rPr>
        <w:t>Country-Level Risk Profiles</w:t>
      </w:r>
    </w:p>
    <w:p w14:paraId="62D1B2D7" w14:textId="2E529BC3" w:rsidR="005A5503" w:rsidRDefault="001B5091" w:rsidP="00565486">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Country-level evidence illustrates both the scale and diversity of these risks across the region.</w:t>
      </w:r>
    </w:p>
    <w:p w14:paraId="394D832A" w14:textId="77777777" w:rsidR="00015F39" w:rsidRPr="00015F39" w:rsidRDefault="00015F39" w:rsidP="00015F39">
      <w:pPr>
        <w:pStyle w:val="NormalWeb"/>
        <w:jc w:val="both"/>
        <w:rPr>
          <w:rFonts w:asciiTheme="majorHAnsi" w:hAnsiTheme="majorHAnsi" w:cstheme="majorHAnsi"/>
          <w:color w:val="000000" w:themeColor="text1"/>
        </w:rPr>
      </w:pPr>
      <w:r w:rsidRPr="00015F39">
        <w:rPr>
          <w:rFonts w:asciiTheme="majorHAnsi" w:hAnsiTheme="majorHAnsi" w:cstheme="majorHAnsi"/>
          <w:b/>
          <w:bCs/>
          <w:color w:val="000000" w:themeColor="text1"/>
        </w:rPr>
        <w:t>In Argentina</w:t>
      </w:r>
      <w:r w:rsidRPr="00015F39">
        <w:rPr>
          <w:rFonts w:asciiTheme="majorHAnsi" w:hAnsiTheme="majorHAnsi" w:cstheme="majorHAnsi"/>
          <w:color w:val="000000" w:themeColor="text1"/>
        </w:rPr>
        <w:t>, the real estate sector comprises more than 10,000 registered agents and is formally subject to AML/CFT obligations. However, both the National Risk Assessment (NRA) and the 2024 GAFILAT Mutual Evaluation highlight persistent vulnerabilities, particularly in relation to cash-intensive transactions, the use of legal entities, and limited transparency in beneficial ownership.</w:t>
      </w:r>
    </w:p>
    <w:p w14:paraId="3C55456B" w14:textId="77777777" w:rsidR="00015F39" w:rsidRPr="00015F39" w:rsidRDefault="00015F39" w:rsidP="00015F39">
      <w:pPr>
        <w:pStyle w:val="NormalWeb"/>
        <w:jc w:val="both"/>
        <w:rPr>
          <w:rFonts w:asciiTheme="majorHAnsi" w:hAnsiTheme="majorHAnsi" w:cstheme="majorHAnsi"/>
          <w:color w:val="000000" w:themeColor="text1"/>
        </w:rPr>
      </w:pPr>
      <w:r w:rsidRPr="00015F39">
        <w:rPr>
          <w:rFonts w:asciiTheme="majorHAnsi" w:hAnsiTheme="majorHAnsi" w:cstheme="majorHAnsi"/>
          <w:color w:val="000000" w:themeColor="text1"/>
        </w:rPr>
        <w:lastRenderedPageBreak/>
        <w:t>Argentina faces significant money laundering risks linked to tax evasion, corruption, drug trafficking, and smuggling, which generate substantial illicit flows requiring integration into the formal economy. Despite progress in regulatory and institutional frameworks, the system shows limited effectiveness in translating financial intelligence into investigations, convictions, and asset recovery, with only 91 money laundering convictions reported in the latest evaluation.</w:t>
      </w:r>
    </w:p>
    <w:p w14:paraId="0D2A5261" w14:textId="77777777" w:rsidR="00015F39" w:rsidRPr="00015F39" w:rsidRDefault="00015F39" w:rsidP="00015F39">
      <w:pPr>
        <w:pStyle w:val="NormalWeb"/>
        <w:jc w:val="both"/>
        <w:rPr>
          <w:rFonts w:asciiTheme="majorHAnsi" w:hAnsiTheme="majorHAnsi" w:cstheme="majorHAnsi"/>
          <w:color w:val="000000" w:themeColor="text1"/>
        </w:rPr>
      </w:pPr>
      <w:r w:rsidRPr="00015F39">
        <w:rPr>
          <w:rFonts w:asciiTheme="majorHAnsi" w:hAnsiTheme="majorHAnsi" w:cstheme="majorHAnsi"/>
          <w:color w:val="000000" w:themeColor="text1"/>
        </w:rPr>
        <w:t>The real estate sector is consistently identified as a key channel for the integration of illicit assets. Typologies reported by the Financial Intelligence Unit (UIF) include the use of shell companies, nominee ownership structures, manipulation of property values, and the use of cash or informal mechanisms to avoid traceability. These risks are reinforced by broader economic conditions, including high levels of informality and the prevalence of non-banked transactions.</w:t>
      </w:r>
    </w:p>
    <w:p w14:paraId="68A1ACE4" w14:textId="303F6FEF" w:rsidR="00015F39" w:rsidRDefault="00015F39" w:rsidP="00565486">
      <w:pPr>
        <w:pStyle w:val="NormalWeb"/>
        <w:jc w:val="both"/>
        <w:rPr>
          <w:rFonts w:asciiTheme="majorHAnsi" w:hAnsiTheme="majorHAnsi" w:cstheme="majorHAnsi"/>
          <w:color w:val="000000" w:themeColor="text1"/>
        </w:rPr>
      </w:pPr>
      <w:r w:rsidRPr="00015F39">
        <w:rPr>
          <w:rFonts w:asciiTheme="majorHAnsi" w:hAnsiTheme="majorHAnsi" w:cstheme="majorHAnsi"/>
          <w:color w:val="000000" w:themeColor="text1"/>
        </w:rPr>
        <w:t>Despite this exposure, Argentina does not currently have a comprehensive, sector-specific risk analysis of the real estate sector. This gap limits the effective application of a risk-based approach and constrains the ability of authorities to prioritise supervision, detect suspicious activity, and strengthen coordination between financial intelligence and criminal investigation.</w:t>
      </w:r>
    </w:p>
    <w:p w14:paraId="690C69D0" w14:textId="72E96B51" w:rsidR="00507734" w:rsidRPr="00507734" w:rsidRDefault="00507734" w:rsidP="00507734">
      <w:pPr>
        <w:pStyle w:val="NormalWeb"/>
        <w:jc w:val="both"/>
        <w:rPr>
          <w:rFonts w:asciiTheme="majorHAnsi" w:hAnsiTheme="majorHAnsi" w:cstheme="majorHAnsi"/>
          <w:color w:val="000000" w:themeColor="text1"/>
        </w:rPr>
      </w:pPr>
      <w:r w:rsidRPr="00507734">
        <w:rPr>
          <w:rFonts w:asciiTheme="majorHAnsi" w:hAnsiTheme="majorHAnsi" w:cstheme="majorHAnsi"/>
          <w:b/>
          <w:bCs/>
          <w:color w:val="000000" w:themeColor="text1"/>
        </w:rPr>
        <w:t>In Brazil,</w:t>
      </w:r>
      <w:r w:rsidRPr="00507734">
        <w:rPr>
          <w:rFonts w:asciiTheme="majorHAnsi" w:hAnsiTheme="majorHAnsi" w:cstheme="majorHAnsi"/>
          <w:color w:val="000000" w:themeColor="text1"/>
        </w:rPr>
        <w:t xml:space="preserve"> the real estate sector represents approximately 10% of GDP, with annual transaction volumes estimated at around BRL 600 billion. The scale and dynamism of the sector, combined with its integration into international financial flows, increases its exposure to money laundering risks.</w:t>
      </w:r>
      <w:r>
        <w:rPr>
          <w:rFonts w:asciiTheme="majorHAnsi" w:hAnsiTheme="majorHAnsi" w:cstheme="majorHAnsi"/>
          <w:color w:val="000000" w:themeColor="text1"/>
        </w:rPr>
        <w:t xml:space="preserve"> </w:t>
      </w:r>
      <w:r w:rsidRPr="00507734">
        <w:rPr>
          <w:rFonts w:asciiTheme="majorHAnsi" w:hAnsiTheme="majorHAnsi" w:cstheme="majorHAnsi"/>
          <w:color w:val="000000" w:themeColor="text1"/>
        </w:rPr>
        <w:t>GAFILAT’s 2023 Mutual Evaluation and Brazil’s National Risk Assessment highlight significant threats linked to corruption, organised crime, drug trafficking, tax crimes, and environmental crimes. These generate large volumes of illicit proceeds requiring integration into the formal economy. While Brazil has developed a strong general understanding of ML/TF risks, sector-specific analysis—particularly in non-financial sectors such as real estate—remains less developed.</w:t>
      </w:r>
    </w:p>
    <w:p w14:paraId="599E4E1E" w14:textId="0F8ED9BE" w:rsidR="00507734" w:rsidRPr="00507734" w:rsidRDefault="00507734" w:rsidP="00507734">
      <w:pPr>
        <w:pStyle w:val="NormalWeb"/>
        <w:jc w:val="both"/>
        <w:rPr>
          <w:rFonts w:asciiTheme="majorHAnsi" w:hAnsiTheme="majorHAnsi" w:cstheme="majorHAnsi"/>
          <w:color w:val="000000" w:themeColor="text1"/>
        </w:rPr>
      </w:pPr>
      <w:r w:rsidRPr="00507734">
        <w:rPr>
          <w:rFonts w:asciiTheme="majorHAnsi" w:hAnsiTheme="majorHAnsi" w:cstheme="majorHAnsi"/>
          <w:color w:val="000000" w:themeColor="text1"/>
        </w:rPr>
        <w:t>The real estate sector is consistently identified as a key channel for the integration of illicit assets. Evidence from COAF reports and major judicial investigations, including those linked to corruption cases, demonstrates the use of shell companies, nominee ownership structures, and complex corporate arrangements to conceal beneficial ownership and integrate illicit funds.</w:t>
      </w:r>
      <w:r>
        <w:rPr>
          <w:rFonts w:asciiTheme="majorHAnsi" w:hAnsiTheme="majorHAnsi" w:cstheme="majorHAnsi"/>
          <w:color w:val="000000" w:themeColor="text1"/>
        </w:rPr>
        <w:t xml:space="preserve"> </w:t>
      </w:r>
      <w:r w:rsidRPr="00507734">
        <w:rPr>
          <w:rFonts w:asciiTheme="majorHAnsi" w:hAnsiTheme="majorHAnsi" w:cstheme="majorHAnsi"/>
          <w:color w:val="000000" w:themeColor="text1"/>
        </w:rPr>
        <w:t>Additional vulnerabilities arise from limitations in beneficial ownership transparency and the use of legal structures that obscure asset ownership. These factors, combined with the size of the market and participation of foreign investment, increase the risk of both domestic and cross-border money laundering.</w:t>
      </w:r>
    </w:p>
    <w:p w14:paraId="51BD410A" w14:textId="106183E9" w:rsidR="00287A2C" w:rsidRDefault="00507734" w:rsidP="00507734">
      <w:pPr>
        <w:pStyle w:val="NormalWeb"/>
        <w:jc w:val="both"/>
        <w:rPr>
          <w:rFonts w:asciiTheme="majorHAnsi" w:hAnsiTheme="majorHAnsi" w:cstheme="majorHAnsi"/>
          <w:color w:val="000000" w:themeColor="text1"/>
        </w:rPr>
      </w:pPr>
      <w:r w:rsidRPr="00507734">
        <w:rPr>
          <w:rFonts w:asciiTheme="majorHAnsi" w:hAnsiTheme="majorHAnsi" w:cstheme="majorHAnsi"/>
          <w:color w:val="000000" w:themeColor="text1"/>
        </w:rPr>
        <w:t xml:space="preserve">Despite these risks, Brazil does not currently have a comprehensive, sector-specific risk assessment of the real estate sector. </w:t>
      </w:r>
      <w:r w:rsidR="004D15D1" w:rsidRPr="004D15D1">
        <w:rPr>
          <w:rFonts w:asciiTheme="majorHAnsi" w:hAnsiTheme="majorHAnsi" w:cstheme="majorHAnsi"/>
          <w:color w:val="000000" w:themeColor="text1"/>
        </w:rPr>
        <w:t>This gap constrains the effective implementation of a risk-based approach and limits the ability of authorities to prioritise supervision and strengthen coordination across institutions.</w:t>
      </w:r>
    </w:p>
    <w:p w14:paraId="029F0FA0" w14:textId="69DF5CCA" w:rsidR="00287A2C" w:rsidRPr="00287A2C" w:rsidRDefault="00287A2C" w:rsidP="00287A2C">
      <w:pPr>
        <w:pStyle w:val="NormalWeb"/>
        <w:jc w:val="both"/>
        <w:rPr>
          <w:rFonts w:asciiTheme="majorHAnsi" w:hAnsiTheme="majorHAnsi" w:cstheme="majorHAnsi"/>
          <w:color w:val="000000" w:themeColor="text1"/>
        </w:rPr>
      </w:pPr>
      <w:r w:rsidRPr="00287A2C">
        <w:rPr>
          <w:rFonts w:asciiTheme="majorHAnsi" w:hAnsiTheme="majorHAnsi" w:cstheme="majorHAnsi"/>
          <w:b/>
          <w:bCs/>
          <w:color w:val="000000" w:themeColor="text1"/>
        </w:rPr>
        <w:t>In Paraguay,</w:t>
      </w:r>
      <w:r w:rsidRPr="00287A2C">
        <w:rPr>
          <w:rFonts w:asciiTheme="majorHAnsi" w:hAnsiTheme="majorHAnsi" w:cstheme="majorHAnsi"/>
          <w:color w:val="000000" w:themeColor="text1"/>
        </w:rPr>
        <w:t xml:space="preserve"> vulnerabilities in the real estate sector are closely linked to both market structure and regional dynamics. Transactions are frequently cash-intensive and exposed to cross-border financial flows, particularly in border regions such as Alto Paraná, Amambay, and Canindeyú, </w:t>
      </w:r>
      <w:r w:rsidRPr="00287A2C">
        <w:rPr>
          <w:rFonts w:asciiTheme="majorHAnsi" w:hAnsiTheme="majorHAnsi" w:cstheme="majorHAnsi"/>
          <w:color w:val="000000" w:themeColor="text1"/>
        </w:rPr>
        <w:lastRenderedPageBreak/>
        <w:t>where the presence of organised criminal networks and informal economic activity increases risk exposure.</w:t>
      </w:r>
    </w:p>
    <w:p w14:paraId="14012951" w14:textId="38F7987C" w:rsidR="00287A2C" w:rsidRPr="00287A2C" w:rsidRDefault="00287A2C" w:rsidP="00287A2C">
      <w:pPr>
        <w:pStyle w:val="NormalWeb"/>
        <w:jc w:val="both"/>
        <w:rPr>
          <w:rFonts w:asciiTheme="majorHAnsi" w:hAnsiTheme="majorHAnsi" w:cstheme="majorHAnsi"/>
          <w:color w:val="000000" w:themeColor="text1"/>
        </w:rPr>
      </w:pPr>
      <w:r w:rsidRPr="00287A2C">
        <w:rPr>
          <w:rFonts w:asciiTheme="majorHAnsi" w:hAnsiTheme="majorHAnsi" w:cstheme="majorHAnsi"/>
          <w:color w:val="000000" w:themeColor="text1"/>
        </w:rPr>
        <w:t>GAFILAT’s 2022 Mutual Evaluation and Paraguay’s National Risk Assessment identify high money laundering risks associated with crimes such as drug trafficking, smuggling, extortion, and tax evasion, many of which have a strong transnational dimension. These risks are particularly pronounced in the real estate sector, which provides an effective channel for the integration and storage of illicit assets.</w:t>
      </w:r>
    </w:p>
    <w:p w14:paraId="0B9AC4F9" w14:textId="77777777" w:rsidR="00287A2C" w:rsidRPr="00287A2C" w:rsidRDefault="00287A2C" w:rsidP="00287A2C">
      <w:pPr>
        <w:pStyle w:val="NormalWeb"/>
        <w:jc w:val="both"/>
        <w:rPr>
          <w:rFonts w:asciiTheme="majorHAnsi" w:hAnsiTheme="majorHAnsi" w:cstheme="majorHAnsi"/>
          <w:color w:val="000000" w:themeColor="text1"/>
        </w:rPr>
      </w:pPr>
      <w:r w:rsidRPr="00287A2C">
        <w:rPr>
          <w:rFonts w:asciiTheme="majorHAnsi" w:hAnsiTheme="majorHAnsi" w:cstheme="majorHAnsi"/>
          <w:color w:val="000000" w:themeColor="text1"/>
        </w:rPr>
        <w:t>Empirical evidence reinforces this assessment. The “Cabeza Branca” case, highlighted in the Mutual Evaluation, identified more than 100 properties used to conceal assets derived from drug trafficking, demonstrating how the real estate sector can be used not only for integration, but also for long-term asset consolidation.</w:t>
      </w:r>
    </w:p>
    <w:p w14:paraId="02ACAD05" w14:textId="77777777" w:rsidR="00287A2C" w:rsidRPr="00287A2C" w:rsidRDefault="00287A2C" w:rsidP="00287A2C">
      <w:pPr>
        <w:pStyle w:val="NormalWeb"/>
        <w:jc w:val="both"/>
        <w:rPr>
          <w:rFonts w:asciiTheme="majorHAnsi" w:hAnsiTheme="majorHAnsi" w:cstheme="majorHAnsi"/>
          <w:color w:val="000000" w:themeColor="text1"/>
        </w:rPr>
      </w:pPr>
      <w:r w:rsidRPr="00287A2C">
        <w:rPr>
          <w:rFonts w:asciiTheme="majorHAnsi" w:hAnsiTheme="majorHAnsi" w:cstheme="majorHAnsi"/>
          <w:color w:val="000000" w:themeColor="text1"/>
        </w:rPr>
        <w:t>Typologies identified by SEPRELAD and GAFILAT include the use of nominee ownership structures, shell companies, cash transactions to avoid traceability, and the use of complex corporate arrangements, in some cases with cross-border elements. These patterns are consistent with global findings on the use of real estate in the integration phase of money laundering.</w:t>
      </w:r>
    </w:p>
    <w:p w14:paraId="76CFA9BD" w14:textId="15A772F1" w:rsidR="00287A2C" w:rsidRDefault="00287A2C" w:rsidP="00287A2C">
      <w:pPr>
        <w:pStyle w:val="NormalWeb"/>
        <w:jc w:val="both"/>
        <w:rPr>
          <w:rFonts w:asciiTheme="majorHAnsi" w:hAnsiTheme="majorHAnsi" w:cstheme="majorHAnsi"/>
          <w:color w:val="000000" w:themeColor="text1"/>
        </w:rPr>
      </w:pPr>
      <w:r w:rsidRPr="00287A2C">
        <w:rPr>
          <w:rFonts w:asciiTheme="majorHAnsi" w:hAnsiTheme="majorHAnsi" w:cstheme="majorHAnsi"/>
          <w:color w:val="000000" w:themeColor="text1"/>
        </w:rPr>
        <w:t>Despite this exposure, Paraguay does not currently have a comprehensive, sector-specific risk assessment of the real estate sector. This limits the effective application of a risk-based approach and constrains the ability of authorities to prioritise supervision, detect suspicious activity, and strengthen coordination between financial intelligence and criminal investigation.</w:t>
      </w:r>
    </w:p>
    <w:p w14:paraId="0C3B0F3F" w14:textId="18AEBE13" w:rsidR="00C823A5" w:rsidRPr="00C823A5" w:rsidRDefault="00C823A5" w:rsidP="00C823A5">
      <w:pPr>
        <w:pStyle w:val="NormalWeb"/>
        <w:jc w:val="both"/>
        <w:rPr>
          <w:rFonts w:asciiTheme="majorHAnsi" w:hAnsiTheme="majorHAnsi" w:cstheme="majorHAnsi"/>
          <w:color w:val="000000" w:themeColor="text1"/>
        </w:rPr>
      </w:pPr>
      <w:r w:rsidRPr="00A96A84">
        <w:rPr>
          <w:rFonts w:asciiTheme="majorHAnsi" w:hAnsiTheme="majorHAnsi" w:cstheme="majorHAnsi"/>
          <w:b/>
          <w:bCs/>
          <w:color w:val="000000" w:themeColor="text1"/>
        </w:rPr>
        <w:t>In Uruguay,</w:t>
      </w:r>
      <w:r w:rsidRPr="00C823A5">
        <w:rPr>
          <w:rFonts w:asciiTheme="majorHAnsi" w:hAnsiTheme="majorHAnsi" w:cstheme="majorHAnsi"/>
          <w:color w:val="000000" w:themeColor="text1"/>
        </w:rPr>
        <w:t xml:space="preserve"> national risk assessment findings confirm that the real estate sector is a key channel for laundering illicit assets, particularly through foreign investment and the use of corporate structures. The country’s economic openness, financial stability, and role as a regional investment platform increase its exposure to cross-border financial flows, including those of illicit origin.</w:t>
      </w:r>
    </w:p>
    <w:p w14:paraId="1F1DF169" w14:textId="77777777" w:rsidR="00C823A5" w:rsidRPr="00C823A5" w:rsidRDefault="00C823A5" w:rsidP="00C823A5">
      <w:pPr>
        <w:pStyle w:val="NormalWeb"/>
        <w:jc w:val="both"/>
        <w:rPr>
          <w:rFonts w:asciiTheme="majorHAnsi" w:hAnsiTheme="majorHAnsi" w:cstheme="majorHAnsi"/>
          <w:color w:val="000000" w:themeColor="text1"/>
        </w:rPr>
      </w:pPr>
      <w:r w:rsidRPr="00C823A5">
        <w:rPr>
          <w:rFonts w:asciiTheme="majorHAnsi" w:hAnsiTheme="majorHAnsi" w:cstheme="majorHAnsi"/>
          <w:color w:val="000000" w:themeColor="text1"/>
        </w:rPr>
        <w:t>GAFILAT’s 2020 Mutual Evaluation highlights that, while Uruguay has a relatively strong AML/CFT framework, significant gaps remain in the understanding and supervision of risks in non-financial sectors, including real estate. In particular, the evaluation notes that risk understanding in DNFBPs is more limited and that information available during the National Risk Assessment was insufficient to fully characterise sector-specific vulnerabilities.</w:t>
      </w:r>
    </w:p>
    <w:p w14:paraId="07A11792" w14:textId="77777777" w:rsidR="00C823A5" w:rsidRPr="00C823A5" w:rsidRDefault="00C823A5" w:rsidP="00C823A5">
      <w:pPr>
        <w:pStyle w:val="NormalWeb"/>
        <w:jc w:val="both"/>
        <w:rPr>
          <w:rFonts w:asciiTheme="majorHAnsi" w:hAnsiTheme="majorHAnsi" w:cstheme="majorHAnsi"/>
          <w:color w:val="000000" w:themeColor="text1"/>
        </w:rPr>
      </w:pPr>
      <w:r w:rsidRPr="00C823A5">
        <w:rPr>
          <w:rFonts w:asciiTheme="majorHAnsi" w:hAnsiTheme="majorHAnsi" w:cstheme="majorHAnsi"/>
          <w:color w:val="000000" w:themeColor="text1"/>
        </w:rPr>
        <w:t>Typologies identified by SENACLAFT and GAFILAT include the use of corporate vehicles, including offshore structures, to conceal beneficial ownership; transactions involving foreign investors with limited traceability of funds; and the use of intermediaries that obscure the identity of the final beneficiary. These patterns reflect broader vulnerabilities linked to beneficial ownership transparency and the integration of transnational financial flows.</w:t>
      </w:r>
    </w:p>
    <w:p w14:paraId="30040B43" w14:textId="77777777" w:rsidR="00C823A5" w:rsidRPr="00C823A5" w:rsidRDefault="00C823A5" w:rsidP="00C823A5">
      <w:pPr>
        <w:pStyle w:val="NormalWeb"/>
        <w:jc w:val="both"/>
        <w:rPr>
          <w:rFonts w:asciiTheme="majorHAnsi" w:hAnsiTheme="majorHAnsi" w:cstheme="majorHAnsi"/>
          <w:color w:val="000000" w:themeColor="text1"/>
        </w:rPr>
      </w:pPr>
      <w:r w:rsidRPr="00C823A5">
        <w:rPr>
          <w:rFonts w:asciiTheme="majorHAnsi" w:hAnsiTheme="majorHAnsi" w:cstheme="majorHAnsi"/>
          <w:color w:val="000000" w:themeColor="text1"/>
        </w:rPr>
        <w:lastRenderedPageBreak/>
        <w:t>The real estate sector is also characterised by operational structures in which multiple roles—such as developer, constructor, and intermediary—may be performed by a single entity, creating additional challenges for effective supervision and risk differentiation.</w:t>
      </w:r>
    </w:p>
    <w:p w14:paraId="4BA4DF8A" w14:textId="3F959B57" w:rsidR="00164799" w:rsidRPr="003E4C1F" w:rsidRDefault="00C823A5" w:rsidP="00C823A5">
      <w:pPr>
        <w:pStyle w:val="NormalWeb"/>
        <w:jc w:val="both"/>
        <w:rPr>
          <w:rFonts w:asciiTheme="majorHAnsi" w:hAnsiTheme="majorHAnsi" w:cstheme="majorHAnsi"/>
          <w:color w:val="000000" w:themeColor="text1"/>
        </w:rPr>
      </w:pPr>
      <w:r w:rsidRPr="00C823A5">
        <w:rPr>
          <w:rFonts w:asciiTheme="majorHAnsi" w:hAnsiTheme="majorHAnsi" w:cstheme="majorHAnsi"/>
          <w:color w:val="000000" w:themeColor="text1"/>
        </w:rPr>
        <w:t xml:space="preserve">Despite these risks, Uruguay does not currently have a comprehensive, sector-specific risk assessment of the real estate sector. </w:t>
      </w:r>
      <w:r w:rsidR="00164799" w:rsidRPr="00164799">
        <w:rPr>
          <w:rFonts w:asciiTheme="majorHAnsi" w:hAnsiTheme="majorHAnsi" w:cstheme="majorHAnsi"/>
          <w:color w:val="000000" w:themeColor="text1"/>
        </w:rPr>
        <w:t>This gap constrains the effective implementation of a risk-based approach</w:t>
      </w:r>
      <w:r w:rsidR="00164799">
        <w:rPr>
          <w:rFonts w:asciiTheme="majorHAnsi" w:hAnsiTheme="majorHAnsi" w:cstheme="majorHAnsi"/>
          <w:color w:val="000000" w:themeColor="text1"/>
        </w:rPr>
        <w:t>.</w:t>
      </w:r>
    </w:p>
    <w:p w14:paraId="0D4AD95D" w14:textId="18CF7978" w:rsidR="001B5091" w:rsidRPr="003E4C1F" w:rsidRDefault="001B5091" w:rsidP="00565486">
      <w:pPr>
        <w:pStyle w:val="Heading2"/>
        <w:jc w:val="both"/>
        <w:rPr>
          <w:rFonts w:cstheme="majorHAnsi"/>
          <w:color w:val="000000" w:themeColor="text1"/>
        </w:rPr>
      </w:pPr>
      <w:r w:rsidRPr="003E4C1F">
        <w:rPr>
          <w:rStyle w:val="Strong"/>
          <w:rFonts w:cstheme="majorHAnsi"/>
          <w:b/>
          <w:bCs/>
          <w:color w:val="000000" w:themeColor="text1"/>
        </w:rPr>
        <w:t>Institutional Asymmetries and Cross-Border Risk Dynamics</w:t>
      </w:r>
    </w:p>
    <w:p w14:paraId="3DD88B31" w14:textId="15DB8B26" w:rsidR="001B5091" w:rsidRPr="003E4C1F" w:rsidRDefault="001B5091" w:rsidP="00565486">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Across the four countries, differences in institutional and supervisory arrangements further complicate risk mitigation.</w:t>
      </w:r>
      <w:r w:rsidR="003A2371" w:rsidRPr="003E4C1F">
        <w:rPr>
          <w:rFonts w:asciiTheme="majorHAnsi" w:hAnsiTheme="majorHAnsi" w:cstheme="majorHAnsi"/>
          <w:color w:val="000000" w:themeColor="text1"/>
        </w:rPr>
        <w:t xml:space="preserve"> </w:t>
      </w:r>
      <w:r w:rsidR="005A5503" w:rsidRPr="003E4C1F">
        <w:rPr>
          <w:rFonts w:asciiTheme="majorHAnsi" w:hAnsiTheme="majorHAnsi" w:cstheme="majorHAnsi"/>
          <w:color w:val="000000" w:themeColor="text1"/>
        </w:rPr>
        <w:t xml:space="preserve">Brazil has a dedicated supervisory system (COFECI–CRECI), while Argentina and Paraguay concentrate these functions within their Financial Intelligence Units. In Uruguay, oversight is carried out by the National Secretariat for the Fight against Money Laundering (SENACLAFT). </w:t>
      </w:r>
      <w:r w:rsidRPr="003E4C1F">
        <w:rPr>
          <w:rFonts w:asciiTheme="majorHAnsi" w:hAnsiTheme="majorHAnsi" w:cstheme="majorHAnsi"/>
          <w:color w:val="000000" w:themeColor="text1"/>
        </w:rPr>
        <w:t>As a result, risk identification and mitigation approaches vary significantly between countries.</w:t>
      </w:r>
    </w:p>
    <w:p w14:paraId="121DBB00" w14:textId="7C57E6EF" w:rsidR="001B5091" w:rsidRPr="003E4C1F" w:rsidRDefault="001B5091" w:rsidP="00824512">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These challenges are reinforced by strong cross-border linkages. The Southern Cone region is characterised by high levels of economic integration and significant capital flows between jurisdictions. The Tri-Border Area between Brazil, Argentina, and Paraguay represents a particularly high-risk environment, where geographic proximity, economic activity, and the presence of organised criminal networks create favourable conditions for cross-border money laundering. Uruguay is also closely integrated into these regional financial flows and exposed to risks linked to foreign investment.</w:t>
      </w:r>
    </w:p>
    <w:p w14:paraId="640F71B0" w14:textId="77777777" w:rsidR="00965CAD" w:rsidRPr="003E4C1F" w:rsidRDefault="00965CAD" w:rsidP="00A0328F">
      <w:pPr>
        <w:pStyle w:val="Heading2"/>
        <w:jc w:val="both"/>
        <w:rPr>
          <w:rStyle w:val="Strong"/>
          <w:b/>
          <w:bCs/>
          <w:color w:val="000000" w:themeColor="text1"/>
        </w:rPr>
      </w:pPr>
      <w:r w:rsidRPr="003E4C1F">
        <w:rPr>
          <w:rStyle w:val="Strong"/>
          <w:b/>
          <w:bCs/>
          <w:color w:val="000000" w:themeColor="text1"/>
        </w:rPr>
        <w:t>Risk Framing: Beneficial Ownership, Fiscal Risks, and Transnational Flows</w:t>
      </w:r>
    </w:p>
    <w:p w14:paraId="45D1FD0B" w14:textId="2092F7B2" w:rsidR="00965CAD" w:rsidRPr="003E4C1F" w:rsidRDefault="00965CAD" w:rsidP="006B7227">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The risk analysis of the real estate sector in Argentina, Brazil, Uruguay and Paraguay needs to be framed within structural dimensions that transcend the real estate market itself and that have been consistently highlighted in the GAFILAT Mutual Evaluations, Uruguay (2020), Paraguay (2022), Brazil (2023) and Argentina (2024). In particular, three axes emerge as critical to understanding the depth and complexity of risk: beneficial ownership transparency, fiscal risks (including tax evasion) and the transnational nature of illicit financial flows. The interaction of these elements positions the real estate sector not only as a channel for the integration of illicit assets, but also as a point of convergence of multiple systemic risks.</w:t>
      </w:r>
    </w:p>
    <w:p w14:paraId="23E559B4" w14:textId="77777777" w:rsidR="00965CAD" w:rsidRPr="003E4C1F" w:rsidRDefault="00965CAD" w:rsidP="006B7227">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First, opacity in the identification of beneficial ownership is one of the main vulnerabilities that facilitate the misuse of the real estate sector. GAFILAT assessments point to limitations in the quality, availability, and verification of beneficial ownership information in several of the countries analyzed, particularly in Brazil (2023), where gaps are identified in the transparency of legal structures, and in other contexts where the use of companies, trusts, or other legal vehicles allows the formal ownership of assets to be dissociated from their real ownership. In real estate, this opacity takes on critical relevance, as the acquisition of assets through corporate structures or intermediaries can make it difficult to trace funds and hide the identity of the true owners.</w:t>
      </w:r>
    </w:p>
    <w:p w14:paraId="228BCFFF" w14:textId="77777777" w:rsidR="00965CAD" w:rsidRPr="003E4C1F" w:rsidRDefault="00965CAD" w:rsidP="00AE287B">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lastRenderedPageBreak/>
        <w:t>This phenomenon not only limits the effectiveness of due diligence measures by obliged entities, but also restricts the ability of authorities to trace assets, identify criminal networks, and apply confiscation measures. Consequently, any risk analysis of the real estate sector that does not centrally incorporate the beneficial ownership dimension risks significantly underestimating the sector's actual exposure. Therefore, the project proposes to integrate this variable as a cross-cutting axis of the analysis, identifying patterns of use of legal structures, levels of transparency and risks associated with the concealment of beneficial ownership.</w:t>
      </w:r>
    </w:p>
    <w:p w14:paraId="68B73802" w14:textId="77777777" w:rsidR="00965CAD" w:rsidRPr="003E4C1F" w:rsidRDefault="00965CAD" w:rsidP="00AE287B">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Secondly, tax risks, particularly those associated with tax evasion, constitute a relevant source of illicit resources that can later be channeled to the real estate sector. Argentina's Mutual Assessment (2024) explicitly identifies tax evasion as one of the main crimes generating money laundering, while Brazil (2023) and Paraguay (2022) also recognize tax crimes as significant threats within the national risk profile. The real estate sector, by its nature, offers multiple opportunities for the materialization of these risks, including the undervaluation or overvaluation of properties, the use of cash transactions, the use of intermediaries and the structuring of operations to hide income or assets.</w:t>
      </w:r>
    </w:p>
    <w:p w14:paraId="0477E781" w14:textId="77777777" w:rsidR="00965CAD" w:rsidRPr="003E4C1F" w:rsidRDefault="00965CAD" w:rsidP="00E2660E">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In addition, investment in real estate can be used as a mechanism to legitimize undeclared resources, integrating them into the formal economy under the guise of legitimate investments. This link between tax evasion and the real estate sector reinforces the need to adopt an approach that integrates the AML/CFT perspective with the tax dimension, promoting greater articulation between tax authorities, financial intelligence units and supervisory entities.</w:t>
      </w:r>
    </w:p>
    <w:p w14:paraId="06F8E6CB" w14:textId="77777777" w:rsidR="00965CAD" w:rsidRPr="003E4C1F" w:rsidRDefault="00965CAD" w:rsidP="00E2660E">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Third, the transnational dimension of financial flows is a central element in understanding risk in the real estate sector in the region. The illicit economies that affect the countries analyzed—particularly drug trafficking, smuggling, and other forms of organized crime—generate resources that are mobilized across multiple jurisdictions, taking advantage of regulatory differences, oversight gaps, and arbitration opportunities. In this context, the real estate sector can function as a final destination for the integration of these flows, especially in countries that present attractive conditions for foreign investment, such as Uruguay, or large-scale and dynamic markets, such as Brazil.</w:t>
      </w:r>
    </w:p>
    <w:p w14:paraId="61A25125" w14:textId="77777777" w:rsidR="00965CAD" w:rsidRPr="003E4C1F" w:rsidRDefault="00965CAD" w:rsidP="00A24229">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Mutual Evaluations highlight the presence of international financial flows and the use of transnational structures as part of money laundering schemes, reinforcing the need to analyze the real estate sector not only from a domestic, but also regional and global perspective. This involves considering variables such as the participation of foreign investors, the use of offshore jurisdictions, the international transfer of funds, and the possible existence of networks that operate in a coordinated manner in different countries.</w:t>
      </w:r>
    </w:p>
    <w:p w14:paraId="2B0FD0C9" w14:textId="77777777" w:rsidR="00965CAD" w:rsidRPr="003E4C1F" w:rsidRDefault="00965CAD" w:rsidP="00A24229">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 xml:space="preserve">The convergence of these three factors, beneficial ownership, fiscal risks and transnational flows, configures a complex and multidimensional risk environment, in which the real estate sector acts as a strategic node within the money laundering value chains. Consequently, the development of a risk analysis in this sector must incorporate these elements in an integrated manner, allowing </w:t>
      </w:r>
      <w:r w:rsidRPr="003E4C1F">
        <w:rPr>
          <w:rFonts w:asciiTheme="majorHAnsi" w:hAnsiTheme="majorHAnsi" w:cstheme="majorHAnsi"/>
          <w:color w:val="000000" w:themeColor="text1"/>
        </w:rPr>
        <w:lastRenderedPageBreak/>
        <w:t>not only the identification of specific vulnerabilities, but also an understanding of the systemic dynamics that facilitate the concealment, transformation and integration of illicit assets.</w:t>
      </w:r>
    </w:p>
    <w:p w14:paraId="1069C8AE" w14:textId="7F50A5A9" w:rsidR="00965CAD" w:rsidRPr="003E4C1F" w:rsidRDefault="00965CAD" w:rsidP="0089627D">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In this sense, the proposal consider</w:t>
      </w:r>
      <w:r w:rsidR="00582EB0">
        <w:rPr>
          <w:rFonts w:asciiTheme="majorHAnsi" w:hAnsiTheme="majorHAnsi" w:cstheme="majorHAnsi"/>
          <w:color w:val="000000" w:themeColor="text1"/>
        </w:rPr>
        <w:t>s</w:t>
      </w:r>
      <w:r w:rsidRPr="003E4C1F">
        <w:rPr>
          <w:rFonts w:asciiTheme="majorHAnsi" w:hAnsiTheme="majorHAnsi" w:cstheme="majorHAnsi"/>
          <w:color w:val="000000" w:themeColor="text1"/>
        </w:rPr>
        <w:t xml:space="preserve"> an analytical approach that articulates these dimensions, generating evidence on how they intersect in the real estate sector and how they can be addressed through more effective public policies, supervisory strategies and inter-institutional cooperation mechanisms. This framework not only strengthens the robustness of the analysis, but also aligns the intervention with GAFILAT/FATF priorities in terms of beneficial ownership transparency, combating tax crimes, and addressing transnational risks.</w:t>
      </w:r>
    </w:p>
    <w:p w14:paraId="5317C75E" w14:textId="4A66E808" w:rsidR="00965CAD" w:rsidRPr="003E4C1F" w:rsidRDefault="00965CAD" w:rsidP="00824512">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Ultimately, strengthening this approach will allow progress towards a more complete understanding of risk and will contribute to the design of more comprehensive responses, capable of reducing the spaces of opacity that currently facilitate the integration of illicit resources in the region's real estate sector.</w:t>
      </w:r>
    </w:p>
    <w:p w14:paraId="199BA267" w14:textId="1773E31D" w:rsidR="001B5091" w:rsidRPr="003E4C1F" w:rsidRDefault="001B5091" w:rsidP="00565486">
      <w:pPr>
        <w:pStyle w:val="Heading2"/>
        <w:jc w:val="both"/>
        <w:rPr>
          <w:rFonts w:cstheme="majorHAnsi"/>
          <w:color w:val="000000" w:themeColor="text1"/>
        </w:rPr>
      </w:pPr>
      <w:r w:rsidRPr="003E4C1F">
        <w:rPr>
          <w:rStyle w:val="Strong"/>
          <w:rFonts w:cstheme="majorHAnsi"/>
          <w:b/>
          <w:bCs/>
          <w:color w:val="000000" w:themeColor="text1"/>
        </w:rPr>
        <w:t>Fragmentation of Responses and Identified Regional Need</w:t>
      </w:r>
    </w:p>
    <w:p w14:paraId="6BF2E851" w14:textId="232D4884" w:rsidR="00A75E4F" w:rsidRPr="003E4C1F" w:rsidRDefault="00A75E4F" w:rsidP="00A75E4F">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Despite the recognition of these risks, current responses remain fragmented and not fully comparable, limiting their usefulness for policy and cross-border coordination. There is clear regional momentum to address this gap. Between 2020 and 2025, a series of regional AML/CFT workshops in the real estate sector—delivered under a U.S. Department of State-funded programme implemented by GovRisk—brought together authorities from Brazil, Argentina, and Paraguay, building a shared understanding of risks and leading to agreement on advancing sectoral risk assessments at national and regional levels.</w:t>
      </w:r>
      <w:r w:rsidR="003A2371" w:rsidRPr="003E4C1F">
        <w:rPr>
          <w:rFonts w:asciiTheme="majorHAnsi" w:hAnsiTheme="majorHAnsi" w:cstheme="majorHAnsi"/>
          <w:color w:val="000000" w:themeColor="text1"/>
        </w:rPr>
        <w:t xml:space="preserve"> </w:t>
      </w:r>
      <w:r w:rsidRPr="003E4C1F">
        <w:rPr>
          <w:rFonts w:asciiTheme="majorHAnsi" w:hAnsiTheme="majorHAnsi" w:cstheme="majorHAnsi"/>
          <w:color w:val="000000" w:themeColor="text1"/>
        </w:rPr>
        <w:t>In this context, the proposed intervention responds directly to a clearly identified regional need.</w:t>
      </w:r>
    </w:p>
    <w:p w14:paraId="2919C20C" w14:textId="0349EEE8" w:rsidR="007E4C36" w:rsidRPr="003E4C1F" w:rsidRDefault="00000000" w:rsidP="00565486">
      <w:pPr>
        <w:pStyle w:val="NormalWeb"/>
        <w:jc w:val="both"/>
        <w:rPr>
          <w:rStyle w:val="Strong"/>
          <w:rFonts w:asciiTheme="majorHAnsi" w:eastAsiaTheme="majorEastAsia" w:hAnsiTheme="majorHAnsi" w:cstheme="majorHAnsi"/>
          <w:b w:val="0"/>
          <w:bCs w:val="0"/>
          <w:color w:val="000000" w:themeColor="text1"/>
          <w:sz w:val="26"/>
          <w:szCs w:val="26"/>
        </w:rPr>
      </w:pPr>
      <w:r w:rsidRPr="003E4C1F">
        <w:rPr>
          <w:rFonts w:asciiTheme="majorHAnsi" w:hAnsiTheme="majorHAnsi" w:cstheme="majorHAnsi"/>
          <w:b/>
          <w:bCs/>
          <w:color w:val="000000" w:themeColor="text1"/>
          <w:sz w:val="28"/>
          <w:szCs w:val="28"/>
        </w:rPr>
        <w:t>C. Definition of the Regional Public Good</w:t>
      </w:r>
    </w:p>
    <w:p w14:paraId="07A3115C" w14:textId="5F8D425E" w:rsidR="003C0CE1" w:rsidRPr="003E4C1F" w:rsidRDefault="003C0CE1" w:rsidP="00565486">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The proposed Regional Public Good is the development and implementation of a harmonised Regional Sectoral Risk Assessment framework for money laundering and terrorist financing in the real estate sector across Brazil, Argentina, Paraguay, and Uruguay. It directly addresses the gap identified in Section B by providing a structured and comparable approach to risk identification and analysis across jurisdictions.</w:t>
      </w:r>
    </w:p>
    <w:p w14:paraId="1FBDA97F" w14:textId="5650D96E" w:rsidR="003317FE" w:rsidRPr="003E4C1F" w:rsidRDefault="008D62C5" w:rsidP="00565486">
      <w:pPr>
        <w:pStyle w:val="NormalWeb"/>
        <w:jc w:val="both"/>
        <w:rPr>
          <w:rFonts w:asciiTheme="majorHAnsi" w:hAnsiTheme="majorHAnsi" w:cstheme="majorHAnsi"/>
          <w:color w:val="000000" w:themeColor="text1"/>
        </w:rPr>
      </w:pPr>
      <w:r w:rsidRPr="003E4C1F">
        <w:rPr>
          <w:rFonts w:asciiTheme="majorHAnsi" w:hAnsiTheme="majorHAnsi" w:cstheme="majorHAnsi"/>
          <w:b/>
          <w:bCs/>
          <w:color w:val="000000" w:themeColor="text1"/>
        </w:rPr>
        <w:t>Methodological Approach and Outputs:</w:t>
      </w:r>
      <w:r w:rsidRPr="003E4C1F">
        <w:rPr>
          <w:rFonts w:asciiTheme="majorHAnsi" w:hAnsiTheme="majorHAnsi" w:cstheme="majorHAnsi"/>
          <w:color w:val="000000" w:themeColor="text1"/>
        </w:rPr>
        <w:t xml:space="preserve"> </w:t>
      </w:r>
      <w:r w:rsidR="003C0CE1" w:rsidRPr="003E4C1F">
        <w:rPr>
          <w:rFonts w:asciiTheme="majorHAnsi" w:hAnsiTheme="majorHAnsi" w:cstheme="majorHAnsi"/>
          <w:color w:val="000000" w:themeColor="text1"/>
        </w:rPr>
        <w:t xml:space="preserve">The RPG will deliver a common methodology, country-level risk assessments, and a regional analytical product, enabling participating countries to identify, compare, and respond to ML/TF risks in a consistent and coordinated manner. </w:t>
      </w:r>
      <w:r w:rsidR="000075C2" w:rsidRPr="003E4C1F">
        <w:rPr>
          <w:rFonts w:asciiTheme="majorHAnsi" w:hAnsiTheme="majorHAnsi" w:cstheme="majorHAnsi"/>
          <w:color w:val="000000" w:themeColor="text1"/>
        </w:rPr>
        <w:t xml:space="preserve">This directly addresses the current lack of comparability and methodological consistency in national risk assessments, which limits their effectiveness in informing policy and cross-border coordination. </w:t>
      </w:r>
      <w:r w:rsidR="003C0CE1" w:rsidRPr="003E4C1F">
        <w:rPr>
          <w:rFonts w:asciiTheme="majorHAnsi" w:hAnsiTheme="majorHAnsi" w:cstheme="majorHAnsi"/>
          <w:color w:val="000000" w:themeColor="text1"/>
        </w:rPr>
        <w:t>It will also generate sector-specific risk matrices, typologies, and supervisory prioritisation tools, alongside practical guidance to support their operational use.</w:t>
      </w:r>
    </w:p>
    <w:p w14:paraId="2918D3D7" w14:textId="1D92DB20" w:rsidR="003C0CE1" w:rsidRPr="003E4C1F" w:rsidRDefault="008D62C5" w:rsidP="00565486">
      <w:pPr>
        <w:pStyle w:val="NormalWeb"/>
        <w:jc w:val="both"/>
        <w:rPr>
          <w:rFonts w:asciiTheme="majorHAnsi" w:hAnsiTheme="majorHAnsi" w:cstheme="majorHAnsi"/>
          <w:color w:val="000000" w:themeColor="text1"/>
        </w:rPr>
      </w:pPr>
      <w:r w:rsidRPr="003E4C1F">
        <w:rPr>
          <w:rFonts w:asciiTheme="majorHAnsi" w:hAnsiTheme="majorHAnsi" w:cstheme="majorHAnsi"/>
          <w:b/>
          <w:bCs/>
          <w:color w:val="000000" w:themeColor="text1"/>
        </w:rPr>
        <w:t>Operationalisation and Regional Value:</w:t>
      </w:r>
      <w:r w:rsidRPr="003E4C1F">
        <w:rPr>
          <w:rFonts w:asciiTheme="majorHAnsi" w:hAnsiTheme="majorHAnsi" w:cstheme="majorHAnsi"/>
          <w:color w:val="000000" w:themeColor="text1"/>
        </w:rPr>
        <w:t xml:space="preserve"> </w:t>
      </w:r>
      <w:r w:rsidR="004B73B2" w:rsidRPr="003E4C1F">
        <w:rPr>
          <w:rFonts w:asciiTheme="majorHAnsi" w:hAnsiTheme="majorHAnsi" w:cstheme="majorHAnsi"/>
          <w:color w:val="000000" w:themeColor="text1"/>
        </w:rPr>
        <w:t xml:space="preserve">The project includes a dissemination and uptake component to ensure findings translate into concrete actions. </w:t>
      </w:r>
      <w:r w:rsidR="003C0CE1" w:rsidRPr="003E4C1F">
        <w:rPr>
          <w:rFonts w:asciiTheme="majorHAnsi" w:hAnsiTheme="majorHAnsi" w:cstheme="majorHAnsi"/>
          <w:color w:val="000000" w:themeColor="text1"/>
        </w:rPr>
        <w:t xml:space="preserve">In this way, the RPG transforms </w:t>
      </w:r>
      <w:r w:rsidR="003C0CE1" w:rsidRPr="003E4C1F">
        <w:rPr>
          <w:rFonts w:asciiTheme="majorHAnsi" w:hAnsiTheme="majorHAnsi" w:cstheme="majorHAnsi"/>
          <w:color w:val="000000" w:themeColor="text1"/>
        </w:rPr>
        <w:lastRenderedPageBreak/>
        <w:t>fragmented national approaches into a shared regional analytical and operational capability, providing a sustainable foundation for risk-based supervision and cross-border coordination.</w:t>
      </w:r>
      <w:r w:rsidR="00173F89" w:rsidRPr="003E4C1F">
        <w:rPr>
          <w:rFonts w:asciiTheme="majorHAnsi" w:hAnsiTheme="majorHAnsi" w:cstheme="majorHAnsi"/>
          <w:color w:val="000000" w:themeColor="text1"/>
        </w:rPr>
        <w:t xml:space="preserve"> </w:t>
      </w:r>
    </w:p>
    <w:p w14:paraId="30918B21" w14:textId="15AB63A9" w:rsidR="003C0CE1" w:rsidRPr="003E4C1F" w:rsidRDefault="008D62C5" w:rsidP="00565486">
      <w:pPr>
        <w:pStyle w:val="NormalWeb"/>
        <w:jc w:val="both"/>
        <w:rPr>
          <w:rFonts w:asciiTheme="majorHAnsi" w:hAnsiTheme="majorHAnsi" w:cstheme="majorHAnsi"/>
          <w:color w:val="000000" w:themeColor="text1"/>
        </w:rPr>
      </w:pPr>
      <w:r w:rsidRPr="003E4C1F">
        <w:rPr>
          <w:rFonts w:asciiTheme="majorHAnsi" w:hAnsiTheme="majorHAnsi" w:cstheme="majorHAnsi"/>
          <w:b/>
          <w:bCs/>
          <w:color w:val="000000" w:themeColor="text1"/>
        </w:rPr>
        <w:t>Beneficiaries and Stakeholder Engagement:</w:t>
      </w:r>
      <w:r w:rsidRPr="003E4C1F">
        <w:rPr>
          <w:rFonts w:asciiTheme="majorHAnsi" w:hAnsiTheme="majorHAnsi" w:cstheme="majorHAnsi"/>
          <w:color w:val="000000" w:themeColor="text1"/>
        </w:rPr>
        <w:t xml:space="preserve"> </w:t>
      </w:r>
      <w:r w:rsidR="003C0CE1" w:rsidRPr="003E4C1F">
        <w:rPr>
          <w:rFonts w:asciiTheme="majorHAnsi" w:hAnsiTheme="majorHAnsi" w:cstheme="majorHAnsi"/>
          <w:color w:val="000000" w:themeColor="text1"/>
        </w:rPr>
        <w:t>The primary beneficiaries are the public authorities responsible for AML/CFT supervision and analysis in the real estate sector, including COFECI–CRECI and COAF in Brazil, UIF in Argentina, SEPRELAD in Paraguay, and SENACLAFT and UIAF in Uruguay.</w:t>
      </w:r>
      <w:r w:rsidR="00EF4D6F" w:rsidRPr="003E4C1F">
        <w:rPr>
          <w:rFonts w:asciiTheme="majorHAnsi" w:hAnsiTheme="majorHAnsi" w:cstheme="majorHAnsi"/>
          <w:color w:val="000000" w:themeColor="text1"/>
        </w:rPr>
        <w:t xml:space="preserve"> Through its dissemination component, the project will engage real estate professionals, financial institutions, law enforcement bodies, and policymakers.</w:t>
      </w:r>
      <w:r w:rsidR="003C0CE1" w:rsidRPr="003E4C1F">
        <w:rPr>
          <w:rFonts w:asciiTheme="majorHAnsi" w:hAnsiTheme="majorHAnsi" w:cstheme="majorHAnsi"/>
          <w:color w:val="000000" w:themeColor="text1"/>
        </w:rPr>
        <w:t xml:space="preserve"> </w:t>
      </w:r>
    </w:p>
    <w:p w14:paraId="5A9348CE" w14:textId="77777777" w:rsidR="003C0CE1" w:rsidRPr="003E4C1F" w:rsidRDefault="003C0CE1" w:rsidP="00565486">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This broader engagement ensures that the findings of the risk assessments are translated into practical risk mitigation measures, strengthening compliance, supervision, and enforcement. At a systemic level, the RPG contributes to improved transparency, stronger financial integrity, and reduced exposure to organised crime.</w:t>
      </w:r>
    </w:p>
    <w:p w14:paraId="2A78E3FB" w14:textId="0D8003D9" w:rsidR="00A75E4F" w:rsidRPr="003E4C1F" w:rsidRDefault="008D62C5" w:rsidP="00565486">
      <w:pPr>
        <w:pStyle w:val="NormalWeb"/>
        <w:jc w:val="both"/>
        <w:rPr>
          <w:rFonts w:asciiTheme="majorHAnsi" w:hAnsiTheme="majorHAnsi" w:cstheme="majorHAnsi"/>
          <w:color w:val="000000" w:themeColor="text1"/>
        </w:rPr>
      </w:pPr>
      <w:r w:rsidRPr="003E4C1F">
        <w:rPr>
          <w:rFonts w:asciiTheme="majorHAnsi" w:hAnsiTheme="majorHAnsi" w:cstheme="majorHAnsi"/>
          <w:b/>
          <w:bCs/>
          <w:color w:val="000000" w:themeColor="text1"/>
        </w:rPr>
        <w:t>Sustainability and Institutional Integration:</w:t>
      </w:r>
      <w:r w:rsidRPr="003E4C1F">
        <w:rPr>
          <w:rFonts w:asciiTheme="majorHAnsi" w:hAnsiTheme="majorHAnsi" w:cstheme="majorHAnsi"/>
          <w:color w:val="000000" w:themeColor="text1"/>
        </w:rPr>
        <w:t xml:space="preserve"> </w:t>
      </w:r>
      <w:r w:rsidR="00A75E4F" w:rsidRPr="003E4C1F">
        <w:rPr>
          <w:rFonts w:asciiTheme="majorHAnsi" w:hAnsiTheme="majorHAnsi" w:cstheme="majorHAnsi"/>
          <w:color w:val="000000" w:themeColor="text1"/>
        </w:rPr>
        <w:t>Sustainability is embedded through integration of the methodology and outputs into institutional frameworks, supporting ongoing updates of sectoral risk assessments and their use in supervisory planning.</w:t>
      </w:r>
    </w:p>
    <w:p w14:paraId="76437151" w14:textId="14838C55" w:rsidR="00A75E4F" w:rsidRPr="003E4C1F" w:rsidRDefault="008D62C5" w:rsidP="00A75E4F">
      <w:pPr>
        <w:pStyle w:val="NormalWeb"/>
        <w:jc w:val="both"/>
        <w:rPr>
          <w:rFonts w:asciiTheme="majorHAnsi" w:hAnsiTheme="majorHAnsi" w:cstheme="majorHAnsi"/>
          <w:color w:val="000000" w:themeColor="text1"/>
        </w:rPr>
      </w:pPr>
      <w:r w:rsidRPr="003E4C1F">
        <w:rPr>
          <w:rFonts w:asciiTheme="majorHAnsi" w:hAnsiTheme="majorHAnsi" w:cstheme="majorHAnsi"/>
          <w:b/>
          <w:bCs/>
          <w:color w:val="000000" w:themeColor="text1"/>
        </w:rPr>
        <w:t>Regional Cooperation and Institutional Support:</w:t>
      </w:r>
      <w:r w:rsidRPr="003E4C1F">
        <w:rPr>
          <w:rFonts w:asciiTheme="majorHAnsi" w:hAnsiTheme="majorHAnsi" w:cstheme="majorHAnsi"/>
          <w:color w:val="000000" w:themeColor="text1"/>
        </w:rPr>
        <w:t xml:space="preserve"> </w:t>
      </w:r>
      <w:r w:rsidR="00A75E4F" w:rsidRPr="003E4C1F">
        <w:rPr>
          <w:rFonts w:asciiTheme="majorHAnsi" w:hAnsiTheme="majorHAnsi" w:cstheme="majorHAnsi"/>
          <w:color w:val="000000" w:themeColor="text1"/>
        </w:rPr>
        <w:t xml:space="preserve">The project will strengthen regional cooperation mechanisms by building on the achievements of the Simpósio Internacional de Prevenção à Lavagem de Dinheiro e ao Financiamento do Terrorismo (SIPLAD), which established a platform for coordination and information exchange among supervisory authorities. Institutional commitment is reflected in letters of support from Brazil, Paraguay, and Uruguay, with confirmation from Argentina pending the consolidation of new institutional leadership.  </w:t>
      </w:r>
    </w:p>
    <w:p w14:paraId="3409F9A4" w14:textId="145F29BD" w:rsidR="00A75E4F" w:rsidRPr="003E4C1F" w:rsidRDefault="00A75E4F" w:rsidP="00A75E4F">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The RPG builds on these existing national and regional processes, responding to a clearly identified and validated need for a more coordinated and comparable analytical approach. Engagement with Uruguay’s AML/CFT authorities—who were not involved in the SIPLAD process—has confirmed that this priority is shared, reinforcing the relevance of extending this established regional framework.</w:t>
      </w:r>
    </w:p>
    <w:p w14:paraId="5BC9B753" w14:textId="146F599E" w:rsidR="003317FE" w:rsidRPr="003E4C1F" w:rsidRDefault="008D62C5" w:rsidP="00565486">
      <w:pPr>
        <w:pStyle w:val="NormalWeb"/>
        <w:jc w:val="both"/>
        <w:rPr>
          <w:rFonts w:asciiTheme="majorHAnsi" w:hAnsiTheme="majorHAnsi" w:cstheme="majorHAnsi"/>
          <w:color w:val="000000" w:themeColor="text1"/>
        </w:rPr>
      </w:pPr>
      <w:r w:rsidRPr="003E4C1F">
        <w:rPr>
          <w:rFonts w:asciiTheme="majorHAnsi" w:hAnsiTheme="majorHAnsi" w:cstheme="majorHAnsi"/>
          <w:b/>
          <w:bCs/>
          <w:color w:val="000000" w:themeColor="text1"/>
        </w:rPr>
        <w:t>Intervention Logic:</w:t>
      </w:r>
      <w:r w:rsidRPr="003E4C1F">
        <w:rPr>
          <w:rFonts w:asciiTheme="majorHAnsi" w:hAnsiTheme="majorHAnsi" w:cstheme="majorHAnsi"/>
          <w:color w:val="000000" w:themeColor="text1"/>
        </w:rPr>
        <w:t xml:space="preserve"> </w:t>
      </w:r>
      <w:r w:rsidR="003317FE" w:rsidRPr="003E4C1F">
        <w:rPr>
          <w:rFonts w:asciiTheme="majorHAnsi" w:hAnsiTheme="majorHAnsi" w:cstheme="majorHAnsi"/>
          <w:color w:val="000000" w:themeColor="text1"/>
        </w:rPr>
        <w:t>The intervention logic of the project is as follows: (i) the problem is fragmentation and lack of comparability in existing risk assessments; (ii) the intervention introduces a common methodology and regional analytical component; (iii) the result is more consistent and comparable risk analysis across countries; and (iv) the impact is strengthened risk-based supervision and reduced use of the real estate sector for money laundering.</w:t>
      </w:r>
    </w:p>
    <w:p w14:paraId="0C676E00" w14:textId="77777777" w:rsidR="00832C9E" w:rsidRPr="003E4C1F" w:rsidRDefault="00832C9E" w:rsidP="001C4EDD">
      <w:pPr>
        <w:pStyle w:val="NormalWeb"/>
        <w:jc w:val="both"/>
        <w:rPr>
          <w:rFonts w:asciiTheme="majorHAnsi" w:hAnsiTheme="majorHAnsi" w:cstheme="majorHAnsi"/>
          <w:b/>
          <w:bCs/>
          <w:color w:val="000000" w:themeColor="text1"/>
        </w:rPr>
      </w:pPr>
      <w:r w:rsidRPr="003E4C1F">
        <w:rPr>
          <w:rFonts w:asciiTheme="majorHAnsi" w:hAnsiTheme="majorHAnsi" w:cstheme="majorHAnsi"/>
          <w:b/>
          <w:bCs/>
          <w:color w:val="000000" w:themeColor="text1"/>
        </w:rPr>
        <w:t>Scalability and DNFBP approach as a regional public good:</w:t>
      </w:r>
    </w:p>
    <w:p w14:paraId="455D4028" w14:textId="1925EC37" w:rsidR="00832C9E" w:rsidRPr="003E4C1F" w:rsidRDefault="00507734" w:rsidP="00BE5DD7">
      <w:pPr>
        <w:pStyle w:val="NormalWeb"/>
        <w:jc w:val="both"/>
        <w:rPr>
          <w:rFonts w:asciiTheme="majorHAnsi" w:hAnsiTheme="majorHAnsi" w:cstheme="majorHAnsi"/>
          <w:color w:val="000000" w:themeColor="text1"/>
        </w:rPr>
      </w:pPr>
      <w:r w:rsidRPr="00507734">
        <w:rPr>
          <w:rFonts w:asciiTheme="majorHAnsi" w:hAnsiTheme="majorHAnsi" w:cstheme="majorHAnsi"/>
          <w:color w:val="000000" w:themeColor="text1"/>
        </w:rPr>
        <w:t>This component strengthens the positioning of the proposal as a Regional Public Good by demonstrating its transferability, replicability, and relevance beyond the real estate sector.</w:t>
      </w:r>
      <w:r>
        <w:rPr>
          <w:rFonts w:asciiTheme="majorHAnsi" w:hAnsiTheme="majorHAnsi" w:cstheme="majorHAnsi"/>
          <w:color w:val="000000" w:themeColor="text1"/>
        </w:rPr>
        <w:t xml:space="preserve"> </w:t>
      </w:r>
      <w:r w:rsidR="00832C9E" w:rsidRPr="003E4C1F">
        <w:rPr>
          <w:rFonts w:asciiTheme="majorHAnsi" w:hAnsiTheme="majorHAnsi" w:cstheme="majorHAnsi"/>
          <w:color w:val="000000" w:themeColor="text1"/>
        </w:rPr>
        <w:t>The design of the proposal deliberately incorporates a logic of scalability and transferability, with the purpose of consolidating its results as a regional public good in the prevention and fight against money laundering and terrorist financing (ML/</w:t>
      </w:r>
      <w:r w:rsidR="00582EB0">
        <w:rPr>
          <w:rFonts w:asciiTheme="majorHAnsi" w:hAnsiTheme="majorHAnsi" w:cstheme="majorHAnsi"/>
          <w:color w:val="000000" w:themeColor="text1"/>
        </w:rPr>
        <w:t>TF</w:t>
      </w:r>
      <w:r w:rsidR="00832C9E" w:rsidRPr="003E4C1F">
        <w:rPr>
          <w:rFonts w:asciiTheme="majorHAnsi" w:hAnsiTheme="majorHAnsi" w:cstheme="majorHAnsi"/>
          <w:color w:val="000000" w:themeColor="text1"/>
        </w:rPr>
        <w:t xml:space="preserve">). This approach responds to a need consistently </w:t>
      </w:r>
      <w:r w:rsidR="00832C9E" w:rsidRPr="003E4C1F">
        <w:rPr>
          <w:rFonts w:asciiTheme="majorHAnsi" w:hAnsiTheme="majorHAnsi" w:cstheme="majorHAnsi"/>
          <w:color w:val="000000" w:themeColor="text1"/>
        </w:rPr>
        <w:lastRenderedPageBreak/>
        <w:t>identified in GAFILAT's Mutual Evaluations —Uruguay (2020), Paraguay (2022), Brazil (2023) and Argentina (2024)—: the existence of structural gaps in the understanding and management of risk in designated non-financial activities and professions (DNFBP/DNFBP), which transcend specific sectors and are replicated in different countries in the region.</w:t>
      </w:r>
    </w:p>
    <w:p w14:paraId="25730BEF" w14:textId="77777777" w:rsidR="00832C9E" w:rsidRPr="003E4C1F" w:rsidRDefault="00832C9E" w:rsidP="00BE5DD7">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In this context, the proposal is not conceived only as a diagnostic exercise focused on the real estate sector, but as the development of a structured, standardized and adaptable analytical methodology, designed to be reused in other sectors and jurisdictions. The real estate sector thus functions as a strategic entry point, given its high exposure to risk, the available empirical evidence and its cross-cutting relevance in the economies of the participating countries. However, the central value of the intervention lies in the construction of a replicable methodological framework, capable of being extended to other DNFBP segments that present similar vulnerabilities.</w:t>
      </w:r>
    </w:p>
    <w:p w14:paraId="499D9BA7" w14:textId="77777777" w:rsidR="00832C9E" w:rsidRPr="003E4C1F" w:rsidRDefault="00832C9E" w:rsidP="00BE5DD7">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From this perspective, the methodology to be developed will be structured around components that facilitate its scalability, such as: standardised risk matrices, comparative typologies, red flags, segmentation schemes by actors and products, and analysis protocols that do not depend on complex technological infrastructures. This design will allow countries not only to use the results of the real estate analysis, but also to have a transferable operational tool to address other sectors such as notaries, lawyers, accountants, dealers of precious metals and stones, casinos or other relevant actors within the DNFBP universe.</w:t>
      </w:r>
    </w:p>
    <w:p w14:paraId="53A52E3D" w14:textId="77777777" w:rsidR="00832C9E" w:rsidRPr="003E4C1F" w:rsidRDefault="00832C9E" w:rsidP="0003158B">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The scalability of the proposal is also reflected in its ability to adapt to different institutional contexts and levels of development. Given that one of the common challenges identified by GAFILAT is heterogeneity in monitoring and analysis capacities between countries, the methodology prioritizes a pragmatic approach, based on the use of available information and accessible tools. This facilitates its adoption in both countries with more advanced systems and those in the nascent stages of developing their DNFBP supervisory frameworks.</w:t>
      </w:r>
    </w:p>
    <w:p w14:paraId="02EBB1AE" w14:textId="77777777" w:rsidR="00832C9E" w:rsidRPr="003E4C1F" w:rsidRDefault="00832C9E" w:rsidP="0003158B">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Likewise, the regional approach of the proposal reinforces its character as a public good by allowing the generation of comparative knowledge and the identification of transnational patterns. The illicit economies that plague the countries of the Southern Cone, particularly drug trafficking, smuggling, and other forms of organized crime, operate through networks that use multiple sectors and jurisdictions for asset integration. In this context, a common risk analysis methodology in DNFBP facilitates not only the understanding of risks at the national level, but also the articulation of coordinated responses between countries, strengthening regional cooperation.</w:t>
      </w:r>
    </w:p>
    <w:p w14:paraId="266F5851" w14:textId="77777777" w:rsidR="00832C9E" w:rsidRPr="003E4C1F" w:rsidRDefault="00832C9E" w:rsidP="003F46E7">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In addition, the systematization of results and lessons learned will allow the generation of knowledge products such as methodological guides, analytical frameworks and good practices, which can be disseminated and used by other countries in Latin America and the Caribbean, expanding the impact of the project beyond the participating countries. In this way, the initiative contributes to the building of sustainable regional capacities and the harmonization of approaches in line with GAFILAT/FATF standards.</w:t>
      </w:r>
    </w:p>
    <w:p w14:paraId="189BDF77" w14:textId="77777777" w:rsidR="00832C9E" w:rsidRPr="003E4C1F" w:rsidRDefault="00832C9E" w:rsidP="003F46E7">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lastRenderedPageBreak/>
        <w:t>Finally, framing the project within a broader DNFBP approach allows us to move towards a comprehensive vision of ML/TF risk, overcoming the sectoral fragmentation that has traditionally characterized prevention strategies. By using the real estate sector as a starting point, but not as a limit, the project lays the groundwork for a second generation of interventions aimed at progressively strengthening supervision, risk analysis and intelligence generation across all non-financial sectors.</w:t>
      </w:r>
    </w:p>
    <w:p w14:paraId="2ED88903" w14:textId="77777777" w:rsidR="00832C9E" w:rsidRPr="003E4C1F" w:rsidRDefault="00832C9E" w:rsidP="003F46E7">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In sum, the proposal not only addresses a critical gap in the real estate sector, but also establishes a scalable, replicable and regionally relevant model, positioning itself as a true public good that will contribute to sustainably strengthening the effectiveness of AML/CFT systems in Latin America.</w:t>
      </w:r>
    </w:p>
    <w:p w14:paraId="6808F2A5" w14:textId="14FF80ED" w:rsidR="00570144" w:rsidRPr="003E4C1F" w:rsidRDefault="008963D5" w:rsidP="00C76402">
      <w:pPr>
        <w:pStyle w:val="NormalWeb"/>
        <w:jc w:val="both"/>
        <w:rPr>
          <w:rFonts w:asciiTheme="majorHAnsi" w:hAnsiTheme="majorHAnsi" w:cstheme="majorHAnsi"/>
          <w:b/>
          <w:bCs/>
          <w:color w:val="000000" w:themeColor="text1"/>
          <w:sz w:val="28"/>
          <w:szCs w:val="28"/>
        </w:rPr>
      </w:pPr>
      <w:r w:rsidRPr="008963D5">
        <w:rPr>
          <w:rFonts w:asciiTheme="majorHAnsi" w:hAnsiTheme="majorHAnsi" w:cstheme="majorHAnsi"/>
          <w:b/>
          <w:bCs/>
          <w:color w:val="000000" w:themeColor="text1"/>
          <w:sz w:val="28"/>
          <w:szCs w:val="28"/>
        </w:rPr>
        <w:t>D. Strengthening of Information Use and Inter-Institutional Coordination (Analytical Approach)</w:t>
      </w:r>
    </w:p>
    <w:p w14:paraId="3A5195FC" w14:textId="61371F84" w:rsidR="00570144" w:rsidRPr="003E4C1F" w:rsidRDefault="00570144" w:rsidP="00C76402">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The component of strengthening the analytical and information management infrastructure is based on a clear diagnosis identified in GAFILAT's Mutual Evaluations for Uruguay, Paraguay, Brazil and Argentina: the main limitation of AML/CT</w:t>
      </w:r>
      <w:r w:rsidR="00582EB0">
        <w:rPr>
          <w:rFonts w:asciiTheme="majorHAnsi" w:hAnsiTheme="majorHAnsi" w:cstheme="majorHAnsi"/>
          <w:color w:val="000000" w:themeColor="text1"/>
        </w:rPr>
        <w:t>F</w:t>
      </w:r>
      <w:r w:rsidRPr="003E4C1F">
        <w:rPr>
          <w:rFonts w:asciiTheme="majorHAnsi" w:hAnsiTheme="majorHAnsi" w:cstheme="majorHAnsi"/>
          <w:color w:val="000000" w:themeColor="text1"/>
        </w:rPr>
        <w:t xml:space="preserve"> systems does not lie in the absence of technology, but in the inability of institutions to effectively take advantage of the information already available. </w:t>
      </w:r>
    </w:p>
    <w:p w14:paraId="66F3A98E" w14:textId="77777777" w:rsidR="00570144" w:rsidRPr="003E4C1F" w:rsidRDefault="00570144" w:rsidP="00C76402">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Data fragmentation, lack of standardization, and limited use of existing tools create a critical gap between the information that is produced and its use for risk analysis, financial intelligence, and wealth research. In this context, the component proposes a shift in approach: prioritizing the construction of a functional analytical infrastructure based on existing data, common methodologies, and human capabilities, rather than investing in complex new technological systems.</w:t>
      </w:r>
    </w:p>
    <w:p w14:paraId="219350CB" w14:textId="77777777" w:rsidR="00570144" w:rsidRPr="003E4C1F" w:rsidRDefault="00570144" w:rsidP="00E51EE4">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Based on this approach, the component seeks to strengthen institutional capacity to collect, integrate and analyze relevant information on the real estate sector through concrete actions aimed at maximizing the value of the available data. This includes the mapping and characterization of key information sources, such as property records, tax data, suspicious transaction reports, and beneficial ownership records, as well as the standardization of risk variables and indicators that allow for the construction of comparable matrices between institutions and countries. Likewise, the functional integration of data is promoted through operational protocols and practical analysis tools, such as templates, dashboards and methodological guides, which facilitate the cross-referencing of information without the need for advanced technological developments. This process is complemented by the strengthening of the technical capacities of analysts, supervisors and researchers, aimed at the applied use of data and the generation of intelligence products.</w:t>
      </w:r>
    </w:p>
    <w:p w14:paraId="2B8F3D76" w14:textId="77777777" w:rsidR="00570144" w:rsidRPr="003E4C1F" w:rsidRDefault="00570144" w:rsidP="00E51EE4">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 xml:space="preserve">As a result, the component will substantially improve the quality of risk analysis in the real estate sector, increase the generation of asset intelligence and strengthen inter-institutional coordination through the functional exchange of information. Its strategic value lies in the fact </w:t>
      </w:r>
      <w:r w:rsidRPr="003E4C1F">
        <w:rPr>
          <w:rFonts w:asciiTheme="majorHAnsi" w:hAnsiTheme="majorHAnsi" w:cstheme="majorHAnsi"/>
          <w:color w:val="000000" w:themeColor="text1"/>
        </w:rPr>
        <w:lastRenderedPageBreak/>
        <w:t>that it is a cost-effective, sustainable and replicable intervention, capable of generating results in the short term without depending on significant technological investments. Ultimately, this component contributes to transforming information management into a strategic asset, aligned with FATF/GAFILAT standards, and to moving towards more effective, evidence-based and results-oriented AML/CFT systems.</w:t>
      </w:r>
    </w:p>
    <w:p w14:paraId="425B0026" w14:textId="297DDE28" w:rsidR="007E4C36" w:rsidRPr="003E4C1F" w:rsidRDefault="00000000" w:rsidP="00565486">
      <w:pPr>
        <w:jc w:val="both"/>
        <w:rPr>
          <w:rFonts w:asciiTheme="majorHAnsi" w:eastAsiaTheme="majorEastAsia" w:hAnsiTheme="majorHAnsi" w:cstheme="majorHAnsi"/>
          <w:b/>
          <w:bCs/>
          <w:color w:val="000000" w:themeColor="text1"/>
          <w:sz w:val="28"/>
          <w:szCs w:val="28"/>
        </w:rPr>
      </w:pPr>
      <w:r w:rsidRPr="003E4C1F">
        <w:rPr>
          <w:rFonts w:asciiTheme="majorHAnsi" w:eastAsiaTheme="majorEastAsia" w:hAnsiTheme="majorHAnsi" w:cstheme="majorHAnsi"/>
          <w:b/>
          <w:bCs/>
          <w:color w:val="000000" w:themeColor="text1"/>
          <w:sz w:val="28"/>
          <w:szCs w:val="28"/>
        </w:rPr>
        <w:t>D. Costs / Budget</w:t>
      </w:r>
      <w:r w:rsidR="00BE62ED" w:rsidRPr="003E4C1F">
        <w:rPr>
          <w:rFonts w:asciiTheme="majorHAnsi" w:eastAsiaTheme="majorEastAsia" w:hAnsiTheme="majorHAnsi" w:cstheme="majorHAnsi"/>
          <w:b/>
          <w:bCs/>
          <w:color w:val="000000" w:themeColor="text1"/>
          <w:sz w:val="28"/>
          <w:szCs w:val="28"/>
        </w:rPr>
        <w:t xml:space="preserve"> </w:t>
      </w:r>
      <w:r w:rsidR="00BE62ED" w:rsidRPr="00D314DA">
        <w:rPr>
          <w:rFonts w:asciiTheme="majorHAnsi" w:eastAsiaTheme="majorEastAsia" w:hAnsiTheme="majorHAnsi" w:cstheme="majorHAnsi"/>
          <w:b/>
          <w:bCs/>
          <w:color w:val="000000" w:themeColor="text1"/>
          <w:sz w:val="28"/>
          <w:szCs w:val="28"/>
          <w:highlight w:val="yellow"/>
        </w:rPr>
        <w:t>(PENDING)</w:t>
      </w:r>
    </w:p>
    <w:p w14:paraId="38219AC8" w14:textId="77777777" w:rsidR="007E4C36" w:rsidRPr="003E4C1F" w:rsidRDefault="00000000" w:rsidP="00565486">
      <w:pPr>
        <w:pStyle w:val="Heading1"/>
        <w:jc w:val="both"/>
        <w:rPr>
          <w:rFonts w:cstheme="majorHAnsi"/>
          <w:color w:val="000000" w:themeColor="text1"/>
        </w:rPr>
      </w:pPr>
      <w:r w:rsidRPr="003E4C1F">
        <w:rPr>
          <w:rFonts w:cstheme="majorHAnsi"/>
          <w:color w:val="000000" w:themeColor="text1"/>
        </w:rPr>
        <w:t>E. Execution / Implementation</w:t>
      </w:r>
    </w:p>
    <w:p w14:paraId="518E95D0" w14:textId="34E814A7" w:rsidR="001B5091" w:rsidRPr="003E4C1F" w:rsidRDefault="002C7482" w:rsidP="00565486">
      <w:pPr>
        <w:pStyle w:val="NormalWeb"/>
        <w:jc w:val="both"/>
        <w:rPr>
          <w:rFonts w:asciiTheme="majorHAnsi" w:hAnsiTheme="majorHAnsi" w:cstheme="majorHAnsi"/>
          <w:color w:val="000000" w:themeColor="text1"/>
        </w:rPr>
      </w:pPr>
      <w:r w:rsidRPr="003E4C1F">
        <w:rPr>
          <w:rFonts w:asciiTheme="majorHAnsi" w:hAnsiTheme="majorHAnsi" w:cstheme="majorHAnsi"/>
          <w:b/>
          <w:bCs/>
          <w:color w:val="000000" w:themeColor="text1"/>
        </w:rPr>
        <w:t>Implementation Leadership and Structure</w:t>
      </w:r>
      <w:r w:rsidRPr="003E4C1F">
        <w:rPr>
          <w:rFonts w:asciiTheme="majorHAnsi" w:hAnsiTheme="majorHAnsi" w:cstheme="majorHAnsi"/>
          <w:color w:val="000000" w:themeColor="text1"/>
        </w:rPr>
        <w:t xml:space="preserve">: </w:t>
      </w:r>
      <w:r w:rsidR="001B5091" w:rsidRPr="003E4C1F">
        <w:rPr>
          <w:rFonts w:asciiTheme="majorHAnsi" w:hAnsiTheme="majorHAnsi" w:cstheme="majorHAnsi"/>
          <w:color w:val="000000" w:themeColor="text1"/>
        </w:rPr>
        <w:t xml:space="preserve">The project will be implemented over a 24-month period under the leadership of the International Governance and Risk Institute (GovRisk), which will serve as the lead implementing institution. </w:t>
      </w:r>
      <w:r w:rsidR="008A723E" w:rsidRPr="003E4C1F">
        <w:rPr>
          <w:rFonts w:asciiTheme="majorHAnsi" w:hAnsiTheme="majorHAnsi" w:cstheme="majorHAnsi"/>
          <w:color w:val="000000" w:themeColor="text1"/>
        </w:rPr>
        <w:t>GovRisk will lead implementation, including technical leadership, methodological development, project management, quality assurance, and delivery.</w:t>
      </w:r>
    </w:p>
    <w:p w14:paraId="66163FE0" w14:textId="6AA130B4" w:rsidR="001B5091" w:rsidRPr="003E4C1F" w:rsidRDefault="002C7482" w:rsidP="00565486">
      <w:pPr>
        <w:pStyle w:val="NormalWeb"/>
        <w:jc w:val="both"/>
        <w:rPr>
          <w:rFonts w:asciiTheme="majorHAnsi" w:hAnsiTheme="majorHAnsi" w:cstheme="majorHAnsi"/>
          <w:color w:val="000000" w:themeColor="text1"/>
        </w:rPr>
      </w:pPr>
      <w:r w:rsidRPr="003E4C1F">
        <w:rPr>
          <w:rFonts w:asciiTheme="majorHAnsi" w:hAnsiTheme="majorHAnsi" w:cstheme="majorHAnsi"/>
          <w:b/>
          <w:bCs/>
          <w:color w:val="000000" w:themeColor="text1"/>
        </w:rPr>
        <w:t>Institutional Partnerships and Coordination</w:t>
      </w:r>
      <w:r w:rsidRPr="003E4C1F">
        <w:rPr>
          <w:rFonts w:asciiTheme="majorHAnsi" w:hAnsiTheme="majorHAnsi" w:cstheme="majorHAnsi"/>
          <w:color w:val="000000" w:themeColor="text1"/>
        </w:rPr>
        <w:t xml:space="preserve">: </w:t>
      </w:r>
      <w:r w:rsidR="001B5091" w:rsidRPr="003E4C1F">
        <w:rPr>
          <w:rFonts w:asciiTheme="majorHAnsi" w:hAnsiTheme="majorHAnsi" w:cstheme="majorHAnsi"/>
          <w:color w:val="000000" w:themeColor="text1"/>
        </w:rPr>
        <w:t>Implementation will be carried out in close collaboration with national partner institutions, including the COFECI–CRECI system, COAF and ENCCLA in Brazil; the Unidad de Información Financiera (UIF) in Argentina; the Secretaría de Prevención de Lavado de Dinero o Bienes (SEPRELAD) in Paraguay; and the Secretaría Nacional para la Lucha contra el Lavado de Activos y el Financiamiento del Terrorismo (SENACLAFT), alongside the Unidad de Información y Análisis Financiero (UIAF), in Uruguay.</w:t>
      </w:r>
    </w:p>
    <w:p w14:paraId="7CD26B4A" w14:textId="0D057388" w:rsidR="00A75E4F" w:rsidRPr="003E4C1F" w:rsidRDefault="002C7482" w:rsidP="00565486">
      <w:pPr>
        <w:pStyle w:val="NormalWeb"/>
        <w:jc w:val="both"/>
        <w:rPr>
          <w:rFonts w:asciiTheme="majorHAnsi" w:hAnsiTheme="majorHAnsi" w:cstheme="majorHAnsi"/>
          <w:color w:val="000000" w:themeColor="text1"/>
        </w:rPr>
      </w:pPr>
      <w:r w:rsidRPr="003E4C1F">
        <w:rPr>
          <w:rFonts w:asciiTheme="majorHAnsi" w:hAnsiTheme="majorHAnsi" w:cstheme="majorHAnsi"/>
          <w:b/>
          <w:bCs/>
          <w:color w:val="000000" w:themeColor="text1"/>
        </w:rPr>
        <w:t>Delivery Model and Team Composition:</w:t>
      </w:r>
      <w:r w:rsidRPr="003E4C1F">
        <w:rPr>
          <w:rFonts w:asciiTheme="majorHAnsi" w:hAnsiTheme="majorHAnsi" w:cstheme="majorHAnsi"/>
          <w:color w:val="000000" w:themeColor="text1"/>
        </w:rPr>
        <w:t xml:space="preserve"> </w:t>
      </w:r>
      <w:r w:rsidR="001B5091" w:rsidRPr="003E4C1F">
        <w:rPr>
          <w:rFonts w:asciiTheme="majorHAnsi" w:hAnsiTheme="majorHAnsi" w:cstheme="majorHAnsi"/>
          <w:color w:val="000000" w:themeColor="text1"/>
        </w:rPr>
        <w:t xml:space="preserve">The delivery model combines GovRisk-led country teams in each jurisdiction with a GovRisk-led regional analytical function. Each country team will follow a core structure adapted to national context while maintaining methodological consistency. </w:t>
      </w:r>
      <w:r w:rsidR="00A75E4F" w:rsidRPr="003E4C1F">
        <w:rPr>
          <w:rFonts w:asciiTheme="majorHAnsi" w:hAnsiTheme="majorHAnsi" w:cstheme="majorHAnsi"/>
          <w:color w:val="000000" w:themeColor="text1"/>
        </w:rPr>
        <w:t xml:space="preserve">This will include: (i) a lead expert with direct experience leading national risk assessments; (ii) a research analyst supporting data collection, validation, and analytical development; (iii) one or two sector-specific experts; and (iv) a designated institutional counterpart responsible for facilitating data access, coordination, and validation. </w:t>
      </w:r>
    </w:p>
    <w:p w14:paraId="76F06191" w14:textId="677E8FAB" w:rsidR="001B5091" w:rsidRPr="003E4C1F" w:rsidRDefault="002C7482" w:rsidP="00565486">
      <w:pPr>
        <w:pStyle w:val="NormalWeb"/>
        <w:jc w:val="both"/>
        <w:rPr>
          <w:rFonts w:asciiTheme="majorHAnsi" w:hAnsiTheme="majorHAnsi" w:cstheme="majorHAnsi"/>
          <w:color w:val="000000" w:themeColor="text1"/>
        </w:rPr>
      </w:pPr>
      <w:r w:rsidRPr="003E4C1F">
        <w:rPr>
          <w:rFonts w:asciiTheme="majorHAnsi" w:hAnsiTheme="majorHAnsi" w:cstheme="majorHAnsi"/>
          <w:b/>
          <w:bCs/>
          <w:color w:val="000000" w:themeColor="text1"/>
        </w:rPr>
        <w:t>Adaptation to National Contexts:</w:t>
      </w:r>
      <w:r w:rsidRPr="003E4C1F">
        <w:rPr>
          <w:rFonts w:asciiTheme="majorHAnsi" w:hAnsiTheme="majorHAnsi" w:cstheme="majorHAnsi"/>
          <w:color w:val="000000" w:themeColor="text1"/>
        </w:rPr>
        <w:t xml:space="preserve"> </w:t>
      </w:r>
      <w:r w:rsidR="001B5091" w:rsidRPr="003E4C1F">
        <w:rPr>
          <w:rFonts w:asciiTheme="majorHAnsi" w:hAnsiTheme="majorHAnsi" w:cstheme="majorHAnsi"/>
          <w:color w:val="000000" w:themeColor="text1"/>
        </w:rPr>
        <w:t>Larger and more decentralised systems, such as Brazil, will require broader team structures and potentially sub-national analytical layers, while more centralised jurisdictions, such as Uruguay, will require more streamlined configurations.</w:t>
      </w:r>
    </w:p>
    <w:p w14:paraId="270F4F54" w14:textId="76C39506" w:rsidR="00A75E4F" w:rsidRPr="003E4C1F" w:rsidRDefault="002C7482" w:rsidP="00565486">
      <w:pPr>
        <w:pStyle w:val="NormalWeb"/>
        <w:jc w:val="both"/>
        <w:rPr>
          <w:rFonts w:asciiTheme="majorHAnsi" w:hAnsiTheme="majorHAnsi" w:cstheme="majorHAnsi"/>
          <w:color w:val="000000" w:themeColor="text1"/>
        </w:rPr>
      </w:pPr>
      <w:r w:rsidRPr="003E4C1F">
        <w:rPr>
          <w:rFonts w:asciiTheme="majorHAnsi" w:hAnsiTheme="majorHAnsi" w:cstheme="majorHAnsi"/>
          <w:b/>
          <w:bCs/>
          <w:color w:val="000000" w:themeColor="text1"/>
        </w:rPr>
        <w:t>Expert Team and Technical Capacity:</w:t>
      </w:r>
      <w:r w:rsidRPr="003E4C1F">
        <w:rPr>
          <w:rFonts w:asciiTheme="majorHAnsi" w:hAnsiTheme="majorHAnsi" w:cstheme="majorHAnsi"/>
          <w:color w:val="000000" w:themeColor="text1"/>
        </w:rPr>
        <w:t xml:space="preserve"> </w:t>
      </w:r>
      <w:r w:rsidR="00A75E4F" w:rsidRPr="003E4C1F">
        <w:rPr>
          <w:rFonts w:asciiTheme="majorHAnsi" w:hAnsiTheme="majorHAnsi" w:cstheme="majorHAnsi"/>
          <w:color w:val="000000" w:themeColor="text1"/>
        </w:rPr>
        <w:t xml:space="preserve">GovRisk is developing this proposal in collaboration with its country-based experts who are contributing to its design and are expected to play key roles in implementation. </w:t>
      </w:r>
      <w:r w:rsidR="00A75E4F" w:rsidRPr="003E4C1F">
        <w:rPr>
          <w:rFonts w:asciiTheme="majorHAnsi" w:hAnsiTheme="majorHAnsi" w:cstheme="majorHAnsi"/>
          <w:color w:val="000000" w:themeColor="text1"/>
          <w:lang w:val="pt-BR"/>
        </w:rPr>
        <w:t xml:space="preserve">These include Alejandro Montesdeoca (Argentina); Joaquim da Cunha Neto and Bernardo Mota (Brazil); Elizabeth Portillo (Paraguay); and Ricardo Gil Iribarne (Uruguay). </w:t>
      </w:r>
      <w:r w:rsidR="00A75E4F" w:rsidRPr="003E4C1F">
        <w:rPr>
          <w:rFonts w:asciiTheme="majorHAnsi" w:hAnsiTheme="majorHAnsi" w:cstheme="majorHAnsi"/>
          <w:color w:val="000000" w:themeColor="text1"/>
        </w:rPr>
        <w:t>Former IDB AML lead Roberto de Michele, based in Argentina, is being consulted regarding a potential quality assurance role, although his participation has not yet been formally confirmed.</w:t>
      </w:r>
    </w:p>
    <w:p w14:paraId="7EDBF8A0" w14:textId="1BA47F06" w:rsidR="001B5091" w:rsidRPr="003E4C1F" w:rsidRDefault="002C7482" w:rsidP="00565486">
      <w:pPr>
        <w:pStyle w:val="NormalWeb"/>
        <w:jc w:val="both"/>
        <w:rPr>
          <w:rFonts w:asciiTheme="majorHAnsi" w:hAnsiTheme="majorHAnsi" w:cstheme="majorHAnsi"/>
          <w:color w:val="000000" w:themeColor="text1"/>
        </w:rPr>
      </w:pPr>
      <w:r w:rsidRPr="003E4C1F">
        <w:rPr>
          <w:rFonts w:asciiTheme="majorHAnsi" w:hAnsiTheme="majorHAnsi" w:cstheme="majorHAnsi"/>
          <w:b/>
          <w:bCs/>
          <w:color w:val="000000" w:themeColor="text1"/>
        </w:rPr>
        <w:lastRenderedPageBreak/>
        <w:t>Relevant Experience and Regional Expertise:</w:t>
      </w:r>
      <w:r w:rsidRPr="003E4C1F">
        <w:rPr>
          <w:rFonts w:asciiTheme="majorHAnsi" w:hAnsiTheme="majorHAnsi" w:cstheme="majorHAnsi"/>
          <w:color w:val="000000" w:themeColor="text1"/>
        </w:rPr>
        <w:t xml:space="preserve"> </w:t>
      </w:r>
      <w:r w:rsidR="001B5091" w:rsidRPr="003E4C1F">
        <w:rPr>
          <w:rFonts w:asciiTheme="majorHAnsi" w:hAnsiTheme="majorHAnsi" w:cstheme="majorHAnsi"/>
          <w:color w:val="000000" w:themeColor="text1"/>
        </w:rPr>
        <w:t xml:space="preserve">These experts bring extensive experience in national risk assessments, AML/CFT supervision, and institutional coordination. Several have also worked on national risk assessments supported or led by the Inter-American Development Bank. Some will also contribute to the regional analytical component. </w:t>
      </w:r>
    </w:p>
    <w:p w14:paraId="6B20582C" w14:textId="35F1191D" w:rsidR="001B5091" w:rsidRPr="003E4C1F" w:rsidRDefault="002C7482" w:rsidP="00565486">
      <w:pPr>
        <w:pStyle w:val="NormalWeb"/>
        <w:jc w:val="both"/>
        <w:rPr>
          <w:rFonts w:asciiTheme="majorHAnsi" w:hAnsiTheme="majorHAnsi" w:cstheme="majorHAnsi"/>
          <w:color w:val="000000" w:themeColor="text1"/>
        </w:rPr>
      </w:pPr>
      <w:r w:rsidRPr="003E4C1F">
        <w:rPr>
          <w:rFonts w:asciiTheme="majorHAnsi" w:hAnsiTheme="majorHAnsi" w:cstheme="majorHAnsi"/>
          <w:b/>
          <w:bCs/>
          <w:color w:val="000000" w:themeColor="text1"/>
        </w:rPr>
        <w:t>Implementation Approach and Institutional Ownership:</w:t>
      </w:r>
      <w:r w:rsidRPr="003E4C1F">
        <w:rPr>
          <w:rFonts w:asciiTheme="majorHAnsi" w:hAnsiTheme="majorHAnsi" w:cstheme="majorHAnsi"/>
          <w:color w:val="000000" w:themeColor="text1"/>
        </w:rPr>
        <w:t xml:space="preserve"> </w:t>
      </w:r>
      <w:r w:rsidR="001B5091" w:rsidRPr="003E4C1F">
        <w:rPr>
          <w:rFonts w:asciiTheme="majorHAnsi" w:hAnsiTheme="majorHAnsi" w:cstheme="majorHAnsi"/>
          <w:color w:val="000000" w:themeColor="text1"/>
        </w:rPr>
        <w:t>GovRisk has established working relationships with partner institutions through sustained collaboration, including regional initiatives delivered between 2020 and 2025 and earlier engagements. The implementation approach ensures that analysis is conducted in close collaboration with national authorities and reflects their data, perspectives, and priorities. GovRisk will provide structure, facilitation, and quality assurance, while supporting institutional ownership and long-term applicability of outputs.</w:t>
      </w:r>
    </w:p>
    <w:p w14:paraId="52E370F1" w14:textId="77777777" w:rsidR="001B5091" w:rsidRPr="003E4C1F" w:rsidRDefault="00E06023" w:rsidP="00565486">
      <w:pPr>
        <w:jc w:val="both"/>
        <w:rPr>
          <w:rFonts w:asciiTheme="majorHAnsi" w:hAnsiTheme="majorHAnsi" w:cstheme="majorHAnsi"/>
          <w:color w:val="000000" w:themeColor="text1"/>
        </w:rPr>
      </w:pPr>
      <w:r>
        <w:rPr>
          <w:noProof/>
        </w:rPr>
      </w:r>
      <w:r>
        <w:pict w14:anchorId="7405D4A2">
          <v:rect id="Horizontal Line 4" o:spid="_x0000_s103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A70A909" w14:textId="77777777" w:rsidR="001B5091" w:rsidRPr="003E4C1F" w:rsidRDefault="001B5091" w:rsidP="00565486">
      <w:pPr>
        <w:pStyle w:val="Heading2"/>
        <w:jc w:val="both"/>
        <w:rPr>
          <w:rFonts w:cstheme="majorHAnsi"/>
          <w:color w:val="000000" w:themeColor="text1"/>
        </w:rPr>
      </w:pPr>
      <w:r w:rsidRPr="003E4C1F">
        <w:rPr>
          <w:rStyle w:val="Strong"/>
          <w:rFonts w:cstheme="majorHAnsi"/>
          <w:b/>
          <w:bCs/>
          <w:color w:val="000000" w:themeColor="text1"/>
        </w:rPr>
        <w:t>2. Phased Work Plan and Methodological Approach</w:t>
      </w:r>
    </w:p>
    <w:p w14:paraId="4F11B627" w14:textId="77777777" w:rsidR="001B5091" w:rsidRPr="003E4C1F" w:rsidRDefault="001B5091" w:rsidP="00565486">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The project will be delivered through a phased approach, designed to ensure methodological consistency, adaptability to country context, and structured integration into the regional analytical product.</w:t>
      </w:r>
    </w:p>
    <w:p w14:paraId="7585E7FB" w14:textId="08FA7E23" w:rsidR="001B5091" w:rsidRPr="003E4C1F" w:rsidRDefault="001B5091" w:rsidP="00565486">
      <w:pPr>
        <w:pStyle w:val="NormalWeb"/>
        <w:jc w:val="both"/>
        <w:rPr>
          <w:rFonts w:asciiTheme="majorHAnsi" w:hAnsiTheme="majorHAnsi" w:cstheme="majorHAnsi"/>
          <w:color w:val="000000" w:themeColor="text1"/>
        </w:rPr>
      </w:pPr>
      <w:r w:rsidRPr="003E4C1F">
        <w:rPr>
          <w:rFonts w:asciiTheme="majorHAnsi" w:hAnsiTheme="majorHAnsi" w:cstheme="majorHAnsi"/>
          <w:b/>
          <w:bCs/>
          <w:color w:val="000000" w:themeColor="text1"/>
        </w:rPr>
        <w:t>The first phase</w:t>
      </w:r>
      <w:r w:rsidRPr="003E4C1F">
        <w:rPr>
          <w:rFonts w:asciiTheme="majorHAnsi" w:hAnsiTheme="majorHAnsi" w:cstheme="majorHAnsi"/>
          <w:color w:val="000000" w:themeColor="text1"/>
        </w:rPr>
        <w:t xml:space="preserve"> will focus on the development of a unified methodology covering both national-level sectoral risk assessments and the regional comparative analysis. This methodology will be aligned with international standards and consistent with FATF guidance on sectoral risk assessments.</w:t>
      </w:r>
    </w:p>
    <w:p w14:paraId="2D218504" w14:textId="40B0BCC8" w:rsidR="001B5091" w:rsidRPr="003E4C1F" w:rsidRDefault="001B5091" w:rsidP="00565486">
      <w:pPr>
        <w:pStyle w:val="NormalWeb"/>
        <w:jc w:val="both"/>
        <w:rPr>
          <w:rFonts w:asciiTheme="majorHAnsi" w:hAnsiTheme="majorHAnsi" w:cstheme="majorHAnsi"/>
          <w:color w:val="000000" w:themeColor="text1"/>
        </w:rPr>
      </w:pPr>
      <w:r w:rsidRPr="003E4C1F">
        <w:rPr>
          <w:rFonts w:asciiTheme="majorHAnsi" w:hAnsiTheme="majorHAnsi" w:cstheme="majorHAnsi"/>
          <w:b/>
          <w:bCs/>
          <w:color w:val="000000" w:themeColor="text1"/>
        </w:rPr>
        <w:t>The second phase</w:t>
      </w:r>
      <w:r w:rsidRPr="003E4C1F">
        <w:rPr>
          <w:rFonts w:asciiTheme="majorHAnsi" w:hAnsiTheme="majorHAnsi" w:cstheme="majorHAnsi"/>
          <w:color w:val="000000" w:themeColor="text1"/>
        </w:rPr>
        <w:t xml:space="preserve"> will involve the implementation of national-level risk assessments. </w:t>
      </w:r>
      <w:r w:rsidR="00507734" w:rsidRPr="00507734">
        <w:rPr>
          <w:rFonts w:asciiTheme="majorHAnsi" w:hAnsiTheme="majorHAnsi" w:cstheme="majorHAnsi"/>
          <w:color w:val="000000" w:themeColor="text1"/>
        </w:rPr>
        <w:t>These will be conducted using a combination of quantitative and qualitative data,</w:t>
      </w:r>
      <w:r w:rsidR="00EF4D6F" w:rsidRPr="003E4C1F">
        <w:rPr>
          <w:rFonts w:asciiTheme="majorHAnsi" w:hAnsiTheme="majorHAnsi" w:cstheme="majorHAnsi"/>
          <w:color w:val="000000" w:themeColor="text1"/>
        </w:rPr>
        <w:t xml:space="preserve"> including transaction data, STR/SAR information, supervisory findings, typologies, and stakeholder inputs</w:t>
      </w:r>
      <w:r w:rsidRPr="003E4C1F">
        <w:rPr>
          <w:rFonts w:asciiTheme="majorHAnsi" w:hAnsiTheme="majorHAnsi" w:cstheme="majorHAnsi"/>
          <w:color w:val="000000" w:themeColor="text1"/>
        </w:rPr>
        <w:t>. Structured consultations will be held with public authorities and private-sector actors to validate findings and ensure relevance.</w:t>
      </w:r>
    </w:p>
    <w:p w14:paraId="443222F4" w14:textId="725D9F79" w:rsidR="004D6372" w:rsidRPr="003E4C1F" w:rsidRDefault="004D6372" w:rsidP="00565486">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The project will incorporate strategies to address data limitations, including the triangulation of quantitative and qualitative sources, supervisory data, typologies, and stakeholder inputs, to ensure robust analysis where data availability is constrained.</w:t>
      </w:r>
    </w:p>
    <w:p w14:paraId="79F8B574" w14:textId="77777777" w:rsidR="001B5091" w:rsidRPr="003E4C1F" w:rsidRDefault="001B5091" w:rsidP="00565486">
      <w:pPr>
        <w:pStyle w:val="NormalWeb"/>
        <w:jc w:val="both"/>
        <w:rPr>
          <w:rFonts w:asciiTheme="majorHAnsi" w:hAnsiTheme="majorHAnsi" w:cstheme="majorHAnsi"/>
          <w:color w:val="000000" w:themeColor="text1"/>
        </w:rPr>
      </w:pPr>
      <w:r w:rsidRPr="003E4C1F">
        <w:rPr>
          <w:rFonts w:asciiTheme="majorHAnsi" w:hAnsiTheme="majorHAnsi" w:cstheme="majorHAnsi"/>
          <w:b/>
          <w:bCs/>
          <w:color w:val="000000" w:themeColor="text1"/>
        </w:rPr>
        <w:t>The third phase</w:t>
      </w:r>
      <w:r w:rsidRPr="003E4C1F">
        <w:rPr>
          <w:rFonts w:asciiTheme="majorHAnsi" w:hAnsiTheme="majorHAnsi" w:cstheme="majorHAnsi"/>
          <w:color w:val="000000" w:themeColor="text1"/>
        </w:rPr>
        <w:t xml:space="preserve"> will focus on the development of the regional analytical component, drawing on national findings to identify cross-border risk patterns, shared typologies, and regulatory or supervisory asymmetries. This component will include a particular focus on the Tri-Border Area as a zone of high financial and economic integration.</w:t>
      </w:r>
    </w:p>
    <w:p w14:paraId="55561C86" w14:textId="77777777" w:rsidR="001B5091" w:rsidRPr="003E4C1F" w:rsidRDefault="001B5091" w:rsidP="00565486">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 xml:space="preserve">The methodology is designed to accommodate differences in country size, institutional maturity, and data availability. The initial phase will therefore include a diagnostic assessment of data quality and availability, which will inform the depth and focus of subsequent analysis. The </w:t>
      </w:r>
      <w:r w:rsidRPr="003E4C1F">
        <w:rPr>
          <w:rFonts w:asciiTheme="majorHAnsi" w:hAnsiTheme="majorHAnsi" w:cstheme="majorHAnsi"/>
          <w:color w:val="000000" w:themeColor="text1"/>
        </w:rPr>
        <w:lastRenderedPageBreak/>
        <w:t>approach prioritises analytical quality over completeness, recognising that risk assessments are iterative processes that can be refined over time.</w:t>
      </w:r>
    </w:p>
    <w:p w14:paraId="63912468" w14:textId="77777777" w:rsidR="001B5091" w:rsidRPr="003E4C1F" w:rsidRDefault="001B5091" w:rsidP="00565486">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Throughout implementation, structured validation processes will be used to ensure that findings are robust, consistent, and grounded in national realities. These will include technical workshops, working groups, and iterative review processes with partner institutions.</w:t>
      </w:r>
    </w:p>
    <w:p w14:paraId="522EA0EB" w14:textId="77777777" w:rsidR="001B5091" w:rsidRPr="003E4C1F" w:rsidRDefault="00E06023" w:rsidP="00565486">
      <w:pPr>
        <w:jc w:val="both"/>
        <w:rPr>
          <w:rFonts w:asciiTheme="majorHAnsi" w:hAnsiTheme="majorHAnsi" w:cstheme="majorHAnsi"/>
          <w:color w:val="000000" w:themeColor="text1"/>
        </w:rPr>
      </w:pPr>
      <w:r>
        <w:rPr>
          <w:noProof/>
        </w:rPr>
      </w:r>
      <w:r>
        <w:pict w14:anchorId="160BBE26">
          <v:rect id="Horizontal Line 5" o:spid="_x0000_s103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95762DC" w14:textId="4503EDFC" w:rsidR="00A10E95" w:rsidRPr="003E4C1F" w:rsidRDefault="001B5091" w:rsidP="00CF20B0">
      <w:pPr>
        <w:pStyle w:val="Heading2"/>
        <w:jc w:val="both"/>
        <w:rPr>
          <w:rFonts w:cstheme="majorHAnsi"/>
          <w:color w:val="000000" w:themeColor="text1"/>
        </w:rPr>
      </w:pPr>
      <w:r w:rsidRPr="003E4C1F">
        <w:rPr>
          <w:rStyle w:val="Strong"/>
          <w:rFonts w:cstheme="majorHAnsi"/>
          <w:b/>
          <w:bCs/>
          <w:color w:val="000000" w:themeColor="text1"/>
        </w:rPr>
        <w:t>3. Products, Use of Results, and Impact</w:t>
      </w:r>
    </w:p>
    <w:p w14:paraId="6FB302F6" w14:textId="0E3DEB36" w:rsidR="001B5091" w:rsidRPr="003E4C1F" w:rsidRDefault="002C7482" w:rsidP="00565486">
      <w:pPr>
        <w:pStyle w:val="NormalWeb"/>
        <w:jc w:val="both"/>
        <w:rPr>
          <w:rFonts w:asciiTheme="majorHAnsi" w:hAnsiTheme="majorHAnsi" w:cstheme="majorHAnsi"/>
          <w:color w:val="000000" w:themeColor="text1"/>
        </w:rPr>
      </w:pPr>
      <w:r w:rsidRPr="003E4C1F">
        <w:rPr>
          <w:rFonts w:asciiTheme="majorHAnsi" w:hAnsiTheme="majorHAnsi" w:cstheme="majorHAnsi"/>
          <w:b/>
          <w:bCs/>
          <w:color w:val="000000" w:themeColor="text1"/>
        </w:rPr>
        <w:t>Project Outputs:</w:t>
      </w:r>
      <w:r w:rsidRPr="003E4C1F">
        <w:rPr>
          <w:rFonts w:asciiTheme="majorHAnsi" w:hAnsiTheme="majorHAnsi" w:cstheme="majorHAnsi"/>
          <w:color w:val="000000" w:themeColor="text1"/>
        </w:rPr>
        <w:t xml:space="preserve"> </w:t>
      </w:r>
      <w:r w:rsidR="00A10E95" w:rsidRPr="003E4C1F">
        <w:rPr>
          <w:rFonts w:asciiTheme="majorHAnsi" w:hAnsiTheme="majorHAnsi" w:cstheme="majorHAnsi"/>
          <w:color w:val="000000" w:themeColor="text1"/>
        </w:rPr>
        <w:t>The project will deliver a defined set of analytical and operational outputs, designed to be replicable and support future application in other jurisdictions</w:t>
      </w:r>
      <w:r w:rsidR="001B5091" w:rsidRPr="003E4C1F">
        <w:rPr>
          <w:rFonts w:asciiTheme="majorHAnsi" w:hAnsiTheme="majorHAnsi" w:cstheme="majorHAnsi"/>
          <w:color w:val="000000" w:themeColor="text1"/>
        </w:rPr>
        <w:t>:</w:t>
      </w:r>
    </w:p>
    <w:p w14:paraId="418584FD" w14:textId="7A197E4B" w:rsidR="001B5091" w:rsidRPr="003E4C1F" w:rsidRDefault="001B5091" w:rsidP="00565486">
      <w:pPr>
        <w:numPr>
          <w:ilvl w:val="0"/>
          <w:numId w:val="24"/>
        </w:numPr>
        <w:spacing w:before="100" w:beforeAutospacing="1" w:after="100" w:afterAutospacing="1" w:line="240" w:lineRule="auto"/>
        <w:jc w:val="both"/>
        <w:rPr>
          <w:rFonts w:asciiTheme="majorHAnsi" w:hAnsiTheme="majorHAnsi" w:cstheme="majorHAnsi"/>
          <w:color w:val="000000" w:themeColor="text1"/>
        </w:rPr>
      </w:pPr>
      <w:r w:rsidRPr="003E4C1F">
        <w:rPr>
          <w:rFonts w:asciiTheme="majorHAnsi" w:hAnsiTheme="majorHAnsi" w:cstheme="majorHAnsi"/>
          <w:color w:val="000000" w:themeColor="text1"/>
        </w:rPr>
        <w:t xml:space="preserve">National sectoral risk assessment reports for </w:t>
      </w:r>
      <w:r w:rsidR="00CF20B0" w:rsidRPr="003E4C1F">
        <w:rPr>
          <w:rFonts w:asciiTheme="majorHAnsi" w:hAnsiTheme="majorHAnsi" w:cstheme="majorHAnsi"/>
          <w:color w:val="000000" w:themeColor="text1"/>
        </w:rPr>
        <w:t xml:space="preserve">Argentina, </w:t>
      </w:r>
      <w:r w:rsidRPr="003E4C1F">
        <w:rPr>
          <w:rFonts w:asciiTheme="majorHAnsi" w:hAnsiTheme="majorHAnsi" w:cstheme="majorHAnsi"/>
          <w:color w:val="000000" w:themeColor="text1"/>
        </w:rPr>
        <w:t xml:space="preserve">Brazil, Paraguay, and </w:t>
      </w:r>
      <w:r w:rsidR="00CF20B0" w:rsidRPr="003E4C1F">
        <w:rPr>
          <w:rFonts w:asciiTheme="majorHAnsi" w:hAnsiTheme="majorHAnsi" w:cstheme="majorHAnsi"/>
          <w:color w:val="000000" w:themeColor="text1"/>
        </w:rPr>
        <w:t>Uruguay</w:t>
      </w:r>
      <w:r w:rsidRPr="003E4C1F">
        <w:rPr>
          <w:rFonts w:asciiTheme="majorHAnsi" w:hAnsiTheme="majorHAnsi" w:cstheme="majorHAnsi"/>
          <w:color w:val="000000" w:themeColor="text1"/>
        </w:rPr>
        <w:t xml:space="preserve"> </w:t>
      </w:r>
    </w:p>
    <w:p w14:paraId="3A4BADDC" w14:textId="5A5513BB" w:rsidR="001B5091" w:rsidRPr="003E4C1F" w:rsidRDefault="001B5091" w:rsidP="00565486">
      <w:pPr>
        <w:numPr>
          <w:ilvl w:val="0"/>
          <w:numId w:val="24"/>
        </w:numPr>
        <w:spacing w:before="100" w:beforeAutospacing="1" w:after="100" w:afterAutospacing="1" w:line="240" w:lineRule="auto"/>
        <w:jc w:val="both"/>
        <w:rPr>
          <w:rFonts w:asciiTheme="majorHAnsi" w:hAnsiTheme="majorHAnsi" w:cstheme="majorHAnsi"/>
          <w:color w:val="000000" w:themeColor="text1"/>
        </w:rPr>
      </w:pPr>
      <w:r w:rsidRPr="003E4C1F">
        <w:rPr>
          <w:rFonts w:asciiTheme="majorHAnsi" w:hAnsiTheme="majorHAnsi" w:cstheme="majorHAnsi"/>
          <w:color w:val="000000" w:themeColor="text1"/>
        </w:rPr>
        <w:t xml:space="preserve">A regional </w:t>
      </w:r>
      <w:r w:rsidR="00CF20B0" w:rsidRPr="003E4C1F">
        <w:rPr>
          <w:rFonts w:asciiTheme="majorHAnsi" w:hAnsiTheme="majorHAnsi" w:cstheme="majorHAnsi"/>
          <w:color w:val="000000" w:themeColor="text1"/>
        </w:rPr>
        <w:t>sectoral risk assessment</w:t>
      </w:r>
    </w:p>
    <w:p w14:paraId="76CFDC87" w14:textId="77777777" w:rsidR="00570144" w:rsidRPr="003E4C1F" w:rsidRDefault="001B5091" w:rsidP="00570144">
      <w:pPr>
        <w:numPr>
          <w:ilvl w:val="0"/>
          <w:numId w:val="24"/>
        </w:numPr>
        <w:spacing w:before="100" w:beforeAutospacing="1" w:after="100" w:afterAutospacing="1" w:line="240" w:lineRule="auto"/>
        <w:jc w:val="both"/>
        <w:rPr>
          <w:rFonts w:asciiTheme="majorHAnsi" w:hAnsiTheme="majorHAnsi" w:cstheme="majorHAnsi"/>
          <w:color w:val="000000" w:themeColor="text1"/>
        </w:rPr>
      </w:pPr>
      <w:r w:rsidRPr="003E4C1F">
        <w:rPr>
          <w:rFonts w:asciiTheme="majorHAnsi" w:hAnsiTheme="majorHAnsi" w:cstheme="majorHAnsi"/>
          <w:color w:val="000000" w:themeColor="text1"/>
        </w:rPr>
        <w:t xml:space="preserve">An executive synthesis with prioritised recommendations </w:t>
      </w:r>
    </w:p>
    <w:p w14:paraId="08A7A7A6" w14:textId="61556A39" w:rsidR="00570144" w:rsidRPr="003E4C1F" w:rsidRDefault="00570144" w:rsidP="00570144">
      <w:pPr>
        <w:numPr>
          <w:ilvl w:val="0"/>
          <w:numId w:val="24"/>
        </w:numPr>
        <w:spacing w:before="100" w:beforeAutospacing="1" w:after="100" w:afterAutospacing="1" w:line="240" w:lineRule="auto"/>
        <w:jc w:val="both"/>
        <w:rPr>
          <w:rFonts w:asciiTheme="majorHAnsi" w:hAnsiTheme="majorHAnsi" w:cstheme="majorHAnsi"/>
          <w:color w:val="000000" w:themeColor="text1"/>
        </w:rPr>
      </w:pPr>
      <w:r w:rsidRPr="003E4C1F">
        <w:rPr>
          <w:rFonts w:asciiTheme="majorHAnsi" w:hAnsiTheme="majorHAnsi" w:cstheme="majorHAnsi"/>
          <w:color w:val="000000" w:themeColor="text1"/>
        </w:rPr>
        <w:t xml:space="preserve">Development of applied analytical tools </w:t>
      </w:r>
    </w:p>
    <w:p w14:paraId="7DE1F90E" w14:textId="77777777" w:rsidR="001B5091" w:rsidRPr="003E4C1F" w:rsidRDefault="001B5091" w:rsidP="00565486">
      <w:pPr>
        <w:pStyle w:val="NormalWeb"/>
        <w:jc w:val="both"/>
        <w:rPr>
          <w:rFonts w:asciiTheme="majorHAnsi" w:hAnsiTheme="majorHAnsi" w:cstheme="majorHAnsi"/>
          <w:b/>
          <w:bCs/>
          <w:color w:val="000000" w:themeColor="text1"/>
        </w:rPr>
      </w:pPr>
      <w:r w:rsidRPr="003E4C1F">
        <w:rPr>
          <w:rFonts w:asciiTheme="majorHAnsi" w:hAnsiTheme="majorHAnsi" w:cstheme="majorHAnsi"/>
          <w:b/>
          <w:bCs/>
          <w:color w:val="000000" w:themeColor="text1"/>
        </w:rPr>
        <w:t>Each national report will include, at a minimum:</w:t>
      </w:r>
    </w:p>
    <w:p w14:paraId="611C7795" w14:textId="77777777" w:rsidR="001B5091" w:rsidRPr="003E4C1F" w:rsidRDefault="001B5091" w:rsidP="00565486">
      <w:pPr>
        <w:numPr>
          <w:ilvl w:val="0"/>
          <w:numId w:val="25"/>
        </w:numPr>
        <w:spacing w:before="100" w:beforeAutospacing="1" w:after="100" w:afterAutospacing="1" w:line="240" w:lineRule="auto"/>
        <w:jc w:val="both"/>
        <w:rPr>
          <w:rFonts w:asciiTheme="majorHAnsi" w:hAnsiTheme="majorHAnsi" w:cstheme="majorHAnsi"/>
          <w:color w:val="000000" w:themeColor="text1"/>
        </w:rPr>
      </w:pPr>
      <w:r w:rsidRPr="003E4C1F">
        <w:rPr>
          <w:rFonts w:asciiTheme="majorHAnsi" w:hAnsiTheme="majorHAnsi" w:cstheme="majorHAnsi"/>
          <w:color w:val="000000" w:themeColor="text1"/>
        </w:rPr>
        <w:t xml:space="preserve">Sector mapping (actors, transaction types, and flows) </w:t>
      </w:r>
    </w:p>
    <w:p w14:paraId="1C2485BE" w14:textId="77777777" w:rsidR="001B5091" w:rsidRPr="003E4C1F" w:rsidRDefault="001B5091" w:rsidP="00565486">
      <w:pPr>
        <w:numPr>
          <w:ilvl w:val="0"/>
          <w:numId w:val="25"/>
        </w:numPr>
        <w:spacing w:before="100" w:beforeAutospacing="1" w:after="100" w:afterAutospacing="1" w:line="240" w:lineRule="auto"/>
        <w:jc w:val="both"/>
        <w:rPr>
          <w:rFonts w:asciiTheme="majorHAnsi" w:hAnsiTheme="majorHAnsi" w:cstheme="majorHAnsi"/>
          <w:color w:val="000000" w:themeColor="text1"/>
        </w:rPr>
      </w:pPr>
      <w:r w:rsidRPr="003E4C1F">
        <w:rPr>
          <w:rFonts w:asciiTheme="majorHAnsi" w:hAnsiTheme="majorHAnsi" w:cstheme="majorHAnsi"/>
          <w:color w:val="000000" w:themeColor="text1"/>
        </w:rPr>
        <w:t xml:space="preserve">Threat assessment </w:t>
      </w:r>
    </w:p>
    <w:p w14:paraId="402B921B" w14:textId="77777777" w:rsidR="001B5091" w:rsidRPr="003E4C1F" w:rsidRDefault="001B5091" w:rsidP="00565486">
      <w:pPr>
        <w:numPr>
          <w:ilvl w:val="0"/>
          <w:numId w:val="25"/>
        </w:numPr>
        <w:spacing w:before="100" w:beforeAutospacing="1" w:after="100" w:afterAutospacing="1" w:line="240" w:lineRule="auto"/>
        <w:jc w:val="both"/>
        <w:rPr>
          <w:rFonts w:asciiTheme="majorHAnsi" w:hAnsiTheme="majorHAnsi" w:cstheme="majorHAnsi"/>
          <w:color w:val="000000" w:themeColor="text1"/>
        </w:rPr>
      </w:pPr>
      <w:r w:rsidRPr="003E4C1F">
        <w:rPr>
          <w:rFonts w:asciiTheme="majorHAnsi" w:hAnsiTheme="majorHAnsi" w:cstheme="majorHAnsi"/>
          <w:color w:val="000000" w:themeColor="text1"/>
        </w:rPr>
        <w:t xml:space="preserve">Vulnerability assessment </w:t>
      </w:r>
    </w:p>
    <w:p w14:paraId="6290E59B" w14:textId="77777777" w:rsidR="001B5091" w:rsidRPr="003E4C1F" w:rsidRDefault="001B5091" w:rsidP="00565486">
      <w:pPr>
        <w:numPr>
          <w:ilvl w:val="0"/>
          <w:numId w:val="25"/>
        </w:numPr>
        <w:spacing w:before="100" w:beforeAutospacing="1" w:after="100" w:afterAutospacing="1" w:line="240" w:lineRule="auto"/>
        <w:jc w:val="both"/>
        <w:rPr>
          <w:rFonts w:asciiTheme="majorHAnsi" w:hAnsiTheme="majorHAnsi" w:cstheme="majorHAnsi"/>
          <w:color w:val="000000" w:themeColor="text1"/>
        </w:rPr>
      </w:pPr>
      <w:r w:rsidRPr="003E4C1F">
        <w:rPr>
          <w:rFonts w:asciiTheme="majorHAnsi" w:hAnsiTheme="majorHAnsi" w:cstheme="majorHAnsi"/>
          <w:color w:val="000000" w:themeColor="text1"/>
        </w:rPr>
        <w:t xml:space="preserve">Risk scoring and prioritisation </w:t>
      </w:r>
    </w:p>
    <w:p w14:paraId="6BC5564E" w14:textId="77777777" w:rsidR="001B5091" w:rsidRPr="003E4C1F" w:rsidRDefault="001B5091" w:rsidP="00565486">
      <w:pPr>
        <w:numPr>
          <w:ilvl w:val="0"/>
          <w:numId w:val="25"/>
        </w:numPr>
        <w:spacing w:before="100" w:beforeAutospacing="1" w:after="100" w:afterAutospacing="1" w:line="240" w:lineRule="auto"/>
        <w:jc w:val="both"/>
        <w:rPr>
          <w:rFonts w:asciiTheme="majorHAnsi" w:hAnsiTheme="majorHAnsi" w:cstheme="majorHAnsi"/>
          <w:color w:val="000000" w:themeColor="text1"/>
        </w:rPr>
      </w:pPr>
      <w:r w:rsidRPr="003E4C1F">
        <w:rPr>
          <w:rFonts w:asciiTheme="majorHAnsi" w:hAnsiTheme="majorHAnsi" w:cstheme="majorHAnsi"/>
          <w:color w:val="000000" w:themeColor="text1"/>
        </w:rPr>
        <w:t xml:space="preserve">Identification of geographic and sectoral risk patterns </w:t>
      </w:r>
    </w:p>
    <w:p w14:paraId="0C8CD6DD" w14:textId="77777777" w:rsidR="001B5091" w:rsidRPr="003E4C1F" w:rsidRDefault="001B5091" w:rsidP="00565486">
      <w:pPr>
        <w:numPr>
          <w:ilvl w:val="0"/>
          <w:numId w:val="25"/>
        </w:numPr>
        <w:spacing w:before="100" w:beforeAutospacing="1" w:after="100" w:afterAutospacing="1" w:line="240" w:lineRule="auto"/>
        <w:jc w:val="both"/>
        <w:rPr>
          <w:rFonts w:asciiTheme="majorHAnsi" w:hAnsiTheme="majorHAnsi" w:cstheme="majorHAnsi"/>
          <w:color w:val="000000" w:themeColor="text1"/>
        </w:rPr>
      </w:pPr>
      <w:r w:rsidRPr="003E4C1F">
        <w:rPr>
          <w:rFonts w:asciiTheme="majorHAnsi" w:hAnsiTheme="majorHAnsi" w:cstheme="majorHAnsi"/>
          <w:color w:val="000000" w:themeColor="text1"/>
        </w:rPr>
        <w:t xml:space="preserve">Targeted recommendations for supervision, regulation, and enforcement </w:t>
      </w:r>
    </w:p>
    <w:p w14:paraId="121B9EC0" w14:textId="77777777" w:rsidR="001B5091" w:rsidRPr="003E4C1F" w:rsidRDefault="001B5091" w:rsidP="00565486">
      <w:pPr>
        <w:pStyle w:val="NormalWeb"/>
        <w:jc w:val="both"/>
        <w:rPr>
          <w:rFonts w:asciiTheme="majorHAnsi" w:hAnsiTheme="majorHAnsi" w:cstheme="majorHAnsi"/>
          <w:b/>
          <w:bCs/>
          <w:color w:val="000000" w:themeColor="text1"/>
        </w:rPr>
      </w:pPr>
      <w:r w:rsidRPr="003E4C1F">
        <w:rPr>
          <w:rFonts w:asciiTheme="majorHAnsi" w:hAnsiTheme="majorHAnsi" w:cstheme="majorHAnsi"/>
          <w:b/>
          <w:bCs/>
          <w:color w:val="000000" w:themeColor="text1"/>
        </w:rPr>
        <w:t>The regional component will synthesise national findings to:</w:t>
      </w:r>
    </w:p>
    <w:p w14:paraId="48A5E3A5" w14:textId="77777777" w:rsidR="001B5091" w:rsidRPr="003E4C1F" w:rsidRDefault="001B5091" w:rsidP="00565486">
      <w:pPr>
        <w:numPr>
          <w:ilvl w:val="0"/>
          <w:numId w:val="26"/>
        </w:numPr>
        <w:spacing w:before="100" w:beforeAutospacing="1" w:after="100" w:afterAutospacing="1" w:line="240" w:lineRule="auto"/>
        <w:jc w:val="both"/>
        <w:rPr>
          <w:rFonts w:asciiTheme="majorHAnsi" w:hAnsiTheme="majorHAnsi" w:cstheme="majorHAnsi"/>
          <w:color w:val="000000" w:themeColor="text1"/>
        </w:rPr>
      </w:pPr>
      <w:r w:rsidRPr="003E4C1F">
        <w:rPr>
          <w:rFonts w:asciiTheme="majorHAnsi" w:hAnsiTheme="majorHAnsi" w:cstheme="majorHAnsi"/>
          <w:color w:val="000000" w:themeColor="text1"/>
        </w:rPr>
        <w:t xml:space="preserve">Identify shared typologies and risk drivers </w:t>
      </w:r>
    </w:p>
    <w:p w14:paraId="1F1B1E1D" w14:textId="77777777" w:rsidR="001B5091" w:rsidRPr="003E4C1F" w:rsidRDefault="001B5091" w:rsidP="00565486">
      <w:pPr>
        <w:numPr>
          <w:ilvl w:val="0"/>
          <w:numId w:val="26"/>
        </w:numPr>
        <w:spacing w:before="100" w:beforeAutospacing="1" w:after="100" w:afterAutospacing="1" w:line="240" w:lineRule="auto"/>
        <w:jc w:val="both"/>
        <w:rPr>
          <w:rFonts w:asciiTheme="majorHAnsi" w:hAnsiTheme="majorHAnsi" w:cstheme="majorHAnsi"/>
          <w:color w:val="000000" w:themeColor="text1"/>
        </w:rPr>
      </w:pPr>
      <w:r w:rsidRPr="003E4C1F">
        <w:rPr>
          <w:rFonts w:asciiTheme="majorHAnsi" w:hAnsiTheme="majorHAnsi" w:cstheme="majorHAnsi"/>
          <w:color w:val="000000" w:themeColor="text1"/>
        </w:rPr>
        <w:t xml:space="preserve">Analyse cross-border financial flows and investment patterns </w:t>
      </w:r>
    </w:p>
    <w:p w14:paraId="6E5F0AF6" w14:textId="77777777" w:rsidR="001B5091" w:rsidRPr="003E4C1F" w:rsidRDefault="001B5091" w:rsidP="00565486">
      <w:pPr>
        <w:numPr>
          <w:ilvl w:val="0"/>
          <w:numId w:val="26"/>
        </w:numPr>
        <w:spacing w:before="100" w:beforeAutospacing="1" w:after="100" w:afterAutospacing="1" w:line="240" w:lineRule="auto"/>
        <w:jc w:val="both"/>
        <w:rPr>
          <w:rFonts w:asciiTheme="majorHAnsi" w:hAnsiTheme="majorHAnsi" w:cstheme="majorHAnsi"/>
          <w:color w:val="000000" w:themeColor="text1"/>
        </w:rPr>
      </w:pPr>
      <w:r w:rsidRPr="003E4C1F">
        <w:rPr>
          <w:rFonts w:asciiTheme="majorHAnsi" w:hAnsiTheme="majorHAnsi" w:cstheme="majorHAnsi"/>
          <w:color w:val="000000" w:themeColor="text1"/>
        </w:rPr>
        <w:t xml:space="preserve">Highlight regulatory and supervisory asymmetries </w:t>
      </w:r>
    </w:p>
    <w:p w14:paraId="4F3463B2" w14:textId="77777777" w:rsidR="001B5091" w:rsidRPr="003E4C1F" w:rsidRDefault="001B5091" w:rsidP="00565486">
      <w:pPr>
        <w:numPr>
          <w:ilvl w:val="0"/>
          <w:numId w:val="26"/>
        </w:numPr>
        <w:spacing w:before="100" w:beforeAutospacing="1" w:after="100" w:afterAutospacing="1" w:line="240" w:lineRule="auto"/>
        <w:jc w:val="both"/>
        <w:rPr>
          <w:rFonts w:asciiTheme="majorHAnsi" w:hAnsiTheme="majorHAnsi" w:cstheme="majorHAnsi"/>
          <w:color w:val="000000" w:themeColor="text1"/>
        </w:rPr>
      </w:pPr>
      <w:r w:rsidRPr="003E4C1F">
        <w:rPr>
          <w:rFonts w:asciiTheme="majorHAnsi" w:hAnsiTheme="majorHAnsi" w:cstheme="majorHAnsi"/>
          <w:color w:val="000000" w:themeColor="text1"/>
        </w:rPr>
        <w:t xml:space="preserve">Identify opportunities for enhanced cooperation and coordination </w:t>
      </w:r>
    </w:p>
    <w:p w14:paraId="27E185E6" w14:textId="2998CAAA" w:rsidR="001B5091" w:rsidRPr="003E4C1F" w:rsidRDefault="002C7482" w:rsidP="00565486">
      <w:pPr>
        <w:pStyle w:val="NormalWeb"/>
        <w:jc w:val="both"/>
        <w:rPr>
          <w:rFonts w:asciiTheme="majorHAnsi" w:hAnsiTheme="majorHAnsi" w:cstheme="majorHAnsi"/>
          <w:color w:val="000000" w:themeColor="text1"/>
        </w:rPr>
      </w:pPr>
      <w:r w:rsidRPr="003E4C1F">
        <w:rPr>
          <w:rFonts w:asciiTheme="majorHAnsi" w:hAnsiTheme="majorHAnsi" w:cstheme="majorHAnsi"/>
          <w:b/>
          <w:bCs/>
          <w:color w:val="000000" w:themeColor="text1"/>
        </w:rPr>
        <w:t>Use of Results:</w:t>
      </w:r>
      <w:r w:rsidRPr="003E4C1F">
        <w:rPr>
          <w:rFonts w:asciiTheme="majorHAnsi" w:hAnsiTheme="majorHAnsi" w:cstheme="majorHAnsi"/>
          <w:color w:val="000000" w:themeColor="text1"/>
        </w:rPr>
        <w:t xml:space="preserve"> </w:t>
      </w:r>
      <w:r w:rsidR="001B5091" w:rsidRPr="003E4C1F">
        <w:rPr>
          <w:rFonts w:asciiTheme="majorHAnsi" w:hAnsiTheme="majorHAnsi" w:cstheme="majorHAnsi"/>
          <w:color w:val="000000" w:themeColor="text1"/>
        </w:rPr>
        <w:t>The outputs are designed to support practical application. They will inform risk-based supervisory planning, improve consistency in risk indicators and red flags, strengthen coordination between supervisory authorities and Financial Intelligence Units, and support the development of coordinated responses at both national and regional levels, including the basis for a risk-based action plan.</w:t>
      </w:r>
    </w:p>
    <w:p w14:paraId="74F8B431" w14:textId="7C92369D" w:rsidR="00CF20B0" w:rsidRPr="003E4C1F" w:rsidRDefault="002C7482" w:rsidP="00565486">
      <w:pPr>
        <w:pStyle w:val="NormalWeb"/>
        <w:jc w:val="both"/>
        <w:rPr>
          <w:rFonts w:asciiTheme="majorHAnsi" w:hAnsiTheme="majorHAnsi" w:cstheme="majorHAnsi"/>
          <w:color w:val="000000" w:themeColor="text1"/>
        </w:rPr>
      </w:pPr>
      <w:r w:rsidRPr="003E4C1F">
        <w:rPr>
          <w:rFonts w:asciiTheme="majorHAnsi" w:hAnsiTheme="majorHAnsi" w:cstheme="majorHAnsi"/>
          <w:b/>
          <w:bCs/>
          <w:color w:val="000000" w:themeColor="text1"/>
        </w:rPr>
        <w:t xml:space="preserve">Quality Assurance and Sustainability: </w:t>
      </w:r>
      <w:r w:rsidR="00EF4D6F" w:rsidRPr="003E4C1F">
        <w:rPr>
          <w:rFonts w:asciiTheme="majorHAnsi" w:hAnsiTheme="majorHAnsi" w:cstheme="majorHAnsi"/>
          <w:color w:val="000000" w:themeColor="text1"/>
        </w:rPr>
        <w:t xml:space="preserve">All outputs will be subject to structured internal review and cross-country consistency checks. </w:t>
      </w:r>
      <w:r w:rsidR="001B5091" w:rsidRPr="003E4C1F">
        <w:rPr>
          <w:rFonts w:asciiTheme="majorHAnsi" w:hAnsiTheme="majorHAnsi" w:cstheme="majorHAnsi"/>
          <w:color w:val="000000" w:themeColor="text1"/>
        </w:rPr>
        <w:t>They are also designed to be updated periodically using the same methodology, supporting sustainability over time</w:t>
      </w:r>
      <w:r w:rsidR="008512FE" w:rsidRPr="003E4C1F">
        <w:rPr>
          <w:rFonts w:asciiTheme="majorHAnsi" w:hAnsiTheme="majorHAnsi" w:cstheme="majorHAnsi"/>
          <w:color w:val="000000" w:themeColor="text1"/>
        </w:rPr>
        <w:t xml:space="preserve">. </w:t>
      </w:r>
    </w:p>
    <w:p w14:paraId="11DA810E" w14:textId="6967F3CF" w:rsidR="001B5091" w:rsidRPr="003E4C1F" w:rsidRDefault="002C7482" w:rsidP="00565486">
      <w:pPr>
        <w:pStyle w:val="NormalWeb"/>
        <w:jc w:val="both"/>
        <w:rPr>
          <w:rFonts w:asciiTheme="majorHAnsi" w:hAnsiTheme="majorHAnsi" w:cstheme="majorHAnsi"/>
          <w:color w:val="000000" w:themeColor="text1"/>
        </w:rPr>
      </w:pPr>
      <w:r w:rsidRPr="003E4C1F">
        <w:rPr>
          <w:rFonts w:asciiTheme="majorHAnsi" w:hAnsiTheme="majorHAnsi" w:cstheme="majorHAnsi"/>
          <w:b/>
          <w:bCs/>
          <w:color w:val="000000" w:themeColor="text1"/>
        </w:rPr>
        <w:lastRenderedPageBreak/>
        <w:t>Expected Outcomes and Impact:</w:t>
      </w:r>
      <w:r w:rsidRPr="003E4C1F">
        <w:rPr>
          <w:rFonts w:asciiTheme="majorHAnsi" w:hAnsiTheme="majorHAnsi" w:cstheme="majorHAnsi"/>
          <w:color w:val="000000" w:themeColor="text1"/>
        </w:rPr>
        <w:t xml:space="preserve"> </w:t>
      </w:r>
      <w:r w:rsidR="008512FE" w:rsidRPr="003E4C1F">
        <w:rPr>
          <w:rFonts w:asciiTheme="majorHAnsi" w:hAnsiTheme="majorHAnsi" w:cstheme="majorHAnsi"/>
          <w:color w:val="000000" w:themeColor="text1"/>
        </w:rPr>
        <w:t>The expected outcomes of the project include improved capacity of supervisory authorities to apply risk-based approaches, increased consistency in risk identification across jurisdictions, and enhanced cross-border coordination. At impact level, the project will contribute to reducing the misuse of the real estate sector for money laundering and strengthening financial integrity across the region.</w:t>
      </w:r>
    </w:p>
    <w:p w14:paraId="47FE8627" w14:textId="353AF597" w:rsidR="00CF0008" w:rsidRPr="003E4C1F" w:rsidRDefault="001B5091" w:rsidP="00565486">
      <w:pPr>
        <w:jc w:val="both"/>
        <w:rPr>
          <w:rFonts w:asciiTheme="majorHAnsi" w:eastAsiaTheme="majorEastAsia" w:hAnsiTheme="majorHAnsi" w:cstheme="majorHAnsi"/>
          <w:b/>
          <w:bCs/>
          <w:color w:val="000000" w:themeColor="text1"/>
          <w:sz w:val="28"/>
          <w:szCs w:val="28"/>
        </w:rPr>
      </w:pPr>
      <w:r w:rsidRPr="003E4C1F">
        <w:rPr>
          <w:rFonts w:asciiTheme="majorHAnsi" w:eastAsiaTheme="majorEastAsia" w:hAnsiTheme="majorHAnsi" w:cstheme="majorHAnsi"/>
          <w:b/>
          <w:bCs/>
          <w:color w:val="000000" w:themeColor="text1"/>
          <w:sz w:val="28"/>
          <w:szCs w:val="28"/>
        </w:rPr>
        <w:t xml:space="preserve">G. </w:t>
      </w:r>
      <w:r w:rsidR="00CF0008" w:rsidRPr="003E4C1F">
        <w:rPr>
          <w:rFonts w:asciiTheme="majorHAnsi" w:eastAsiaTheme="majorEastAsia" w:hAnsiTheme="majorHAnsi" w:cstheme="majorHAnsi"/>
          <w:b/>
          <w:bCs/>
          <w:color w:val="000000" w:themeColor="text1"/>
          <w:sz w:val="28"/>
          <w:szCs w:val="28"/>
        </w:rPr>
        <w:t>Why GovRisk</w:t>
      </w:r>
    </w:p>
    <w:p w14:paraId="7EA56EA3" w14:textId="77777777" w:rsidR="00565486" w:rsidRPr="003E4C1F" w:rsidRDefault="00565486" w:rsidP="00565486">
      <w:pPr>
        <w:pStyle w:val="Heading2"/>
        <w:jc w:val="both"/>
        <w:rPr>
          <w:rFonts w:cstheme="majorHAnsi"/>
          <w:color w:val="000000" w:themeColor="text1"/>
        </w:rPr>
      </w:pPr>
      <w:r w:rsidRPr="003E4C1F">
        <w:rPr>
          <w:rStyle w:val="Strong"/>
          <w:rFonts w:cstheme="majorHAnsi"/>
          <w:b/>
          <w:bCs/>
          <w:color w:val="000000" w:themeColor="text1"/>
        </w:rPr>
        <w:t>Institutional Profile and Experience</w:t>
      </w:r>
    </w:p>
    <w:p w14:paraId="2B925BC7" w14:textId="340C822B" w:rsidR="00565486" w:rsidRPr="003E4C1F" w:rsidRDefault="00565486" w:rsidP="00565486">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GovRisk is a UK-based consultancy specialising in anti-money laundering and counter-terrorist financing (AML/CFT), anti-corruption, financial crime, and institutional strengthening. Since 2011, it has delivered over 115 technical assistance and capacity-building projects globally, including more than 5</w:t>
      </w:r>
      <w:r w:rsidR="00CF20B0" w:rsidRPr="003E4C1F">
        <w:rPr>
          <w:rFonts w:asciiTheme="majorHAnsi" w:hAnsiTheme="majorHAnsi" w:cstheme="majorHAnsi"/>
          <w:color w:val="000000" w:themeColor="text1"/>
        </w:rPr>
        <w:t>5</w:t>
      </w:r>
      <w:r w:rsidRPr="003E4C1F">
        <w:rPr>
          <w:rFonts w:asciiTheme="majorHAnsi" w:hAnsiTheme="majorHAnsi" w:cstheme="majorHAnsi"/>
          <w:color w:val="000000" w:themeColor="text1"/>
        </w:rPr>
        <w:t xml:space="preserve"> across Latin America, working with institutions at national and subnational levels.</w:t>
      </w:r>
    </w:p>
    <w:p w14:paraId="28D79ED0" w14:textId="77777777" w:rsidR="00565486" w:rsidRPr="003E4C1F" w:rsidRDefault="00565486" w:rsidP="00565486">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Its programmes have been funded by and delivered in partnership with bilateral and multilateral organisations, including the U.S. Department of State, USAID, the UK Foreign, Commonwealth and Development Office, and the Inter-American Development Bank. GovRisk brings particular expertise in sectoral risk analysis, risk-based supervision, and the translation of analytical findings into practical supervisory and policy tools.</w:t>
      </w:r>
    </w:p>
    <w:p w14:paraId="72F449E8" w14:textId="77777777" w:rsidR="00565486" w:rsidRPr="003E4C1F" w:rsidRDefault="00E06023" w:rsidP="00565486">
      <w:pPr>
        <w:jc w:val="both"/>
        <w:rPr>
          <w:rFonts w:asciiTheme="majorHAnsi" w:hAnsiTheme="majorHAnsi" w:cstheme="majorHAnsi"/>
          <w:color w:val="000000" w:themeColor="text1"/>
        </w:rPr>
      </w:pPr>
      <w:r>
        <w:rPr>
          <w:noProof/>
        </w:rPr>
      </w:r>
      <w:r>
        <w:pict w14:anchorId="3CA3C182">
          <v:rect id="Horizontal Line 6" o:spid="_x0000_s103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0C439E7" w14:textId="77777777" w:rsidR="00565486" w:rsidRPr="003E4C1F" w:rsidRDefault="00565486" w:rsidP="00565486">
      <w:pPr>
        <w:pStyle w:val="Heading2"/>
        <w:jc w:val="both"/>
        <w:rPr>
          <w:rFonts w:cstheme="majorHAnsi"/>
          <w:color w:val="000000" w:themeColor="text1"/>
        </w:rPr>
      </w:pPr>
      <w:r w:rsidRPr="003E4C1F">
        <w:rPr>
          <w:rStyle w:val="Strong"/>
          <w:rFonts w:cstheme="majorHAnsi"/>
          <w:b/>
          <w:bCs/>
          <w:color w:val="000000" w:themeColor="text1"/>
        </w:rPr>
        <w:t>Tri-Border Programme and Real Estate Sector Expertise</w:t>
      </w:r>
    </w:p>
    <w:p w14:paraId="22EE06B2" w14:textId="77777777" w:rsidR="00565486" w:rsidRPr="003E4C1F" w:rsidRDefault="00565486" w:rsidP="00565486">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 xml:space="preserve">A central element of GovRisk’s relevance to this proposal is its role in the U.S. Department of State-funded programme </w:t>
      </w:r>
      <w:r w:rsidRPr="003E4C1F">
        <w:rPr>
          <w:rStyle w:val="Emphasis"/>
          <w:rFonts w:asciiTheme="majorHAnsi" w:hAnsiTheme="majorHAnsi" w:cstheme="majorHAnsi"/>
          <w:color w:val="000000" w:themeColor="text1"/>
        </w:rPr>
        <w:t>“Countering Money Laundering and the Financing of Terrorism in South America (Argentina, Brazil and Paraguay)”</w:t>
      </w:r>
      <w:r w:rsidRPr="003E4C1F">
        <w:rPr>
          <w:rFonts w:asciiTheme="majorHAnsi" w:hAnsiTheme="majorHAnsi" w:cstheme="majorHAnsi"/>
          <w:color w:val="000000" w:themeColor="text1"/>
        </w:rPr>
        <w:t xml:space="preserve"> (2021–2025), implemented in partnership with the American Bar Association.</w:t>
      </w:r>
    </w:p>
    <w:p w14:paraId="2083A1D9" w14:textId="77777777" w:rsidR="00565486" w:rsidRPr="003E4C1F" w:rsidRDefault="00565486" w:rsidP="00565486">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Through this multi-year engagement, GovRisk worked directly with supervisory authorities, Financial Intelligence Units, and enforcement stakeholders across the Tri-Border Area to strengthen AML/CFT systems.</w:t>
      </w:r>
    </w:p>
    <w:p w14:paraId="74E4CABC" w14:textId="77777777" w:rsidR="00565486" w:rsidRPr="003E4C1F" w:rsidRDefault="00565486" w:rsidP="00565486">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Within this programme, GovRisk developed a focused body of work on the real estate sector as a high-risk DNFBP. In Brazil, this included collaboration with the COFECI–CRECI system to strengthen the regulatory framework governing the sector and the development of a compliance manual for real estate professionals. Across Brazil, Paraguay, and Argentina, GovRisk also supported improvements in supervisory mechanisms, sectoral guidance, and suspicious transaction reporting frameworks.</w:t>
      </w:r>
    </w:p>
    <w:p w14:paraId="08428463" w14:textId="77777777" w:rsidR="00565486" w:rsidRPr="003E4C1F" w:rsidRDefault="00565486" w:rsidP="00565486">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 xml:space="preserve">This work was supported through sustained in-country engagement and regional processes, including a series of regional workshops bringing together supervisory authorities, Financial Intelligence Units, and private-sector stakeholders. The final event, held in Foz do Iguaçu in </w:t>
      </w:r>
      <w:r w:rsidRPr="003E4C1F">
        <w:rPr>
          <w:rFonts w:asciiTheme="majorHAnsi" w:hAnsiTheme="majorHAnsi" w:cstheme="majorHAnsi"/>
          <w:color w:val="000000" w:themeColor="text1"/>
        </w:rPr>
        <w:lastRenderedPageBreak/>
        <w:t>December 2025, brought together more than 300 participants, including SEPRELAD, Argentina’s Financial Intelligence Unit, COFECI–CRECI, COAF, ENCCLA, and private-sector representatives.</w:t>
      </w:r>
    </w:p>
    <w:p w14:paraId="7ADD87A1" w14:textId="77777777" w:rsidR="00565486" w:rsidRPr="003E4C1F" w:rsidRDefault="00565486" w:rsidP="00565486">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These engagements resulted in a clear cross-country consensus that a Regional Sectoral Risk Assessment of the real estate sector represents the priority next step to consolidate reforms and address transnational ML/TF risks.</w:t>
      </w:r>
    </w:p>
    <w:p w14:paraId="1FA91823" w14:textId="77777777" w:rsidR="00565486" w:rsidRPr="003E4C1F" w:rsidRDefault="00E06023" w:rsidP="00565486">
      <w:pPr>
        <w:jc w:val="both"/>
        <w:rPr>
          <w:rFonts w:asciiTheme="majorHAnsi" w:hAnsiTheme="majorHAnsi" w:cstheme="majorHAnsi"/>
          <w:color w:val="000000" w:themeColor="text1"/>
        </w:rPr>
      </w:pPr>
      <w:r>
        <w:rPr>
          <w:noProof/>
        </w:rPr>
      </w:r>
      <w:r>
        <w:pict w14:anchorId="6777DC2C">
          <v:rect id="Horizontal Line 7" o:spid="_x0000_s102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50FB8BA" w14:textId="77777777" w:rsidR="00565486" w:rsidRPr="003E4C1F" w:rsidRDefault="00565486" w:rsidP="00565486">
      <w:pPr>
        <w:pStyle w:val="Heading2"/>
        <w:jc w:val="both"/>
        <w:rPr>
          <w:rFonts w:cstheme="majorHAnsi"/>
          <w:color w:val="000000" w:themeColor="text1"/>
        </w:rPr>
      </w:pPr>
      <w:r w:rsidRPr="003E4C1F">
        <w:rPr>
          <w:rStyle w:val="Strong"/>
          <w:rFonts w:cstheme="majorHAnsi"/>
          <w:b/>
          <w:bCs/>
          <w:color w:val="000000" w:themeColor="text1"/>
        </w:rPr>
        <w:t>Technical Approach and Risk Assessment Expertise</w:t>
      </w:r>
    </w:p>
    <w:p w14:paraId="372E9262" w14:textId="77777777" w:rsidR="00565486" w:rsidRPr="003E4C1F" w:rsidRDefault="00565486" w:rsidP="00565486">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GovRisk’s technical approach is grounded in the FATF risk-based framework and aligned with methodologies used by the IMF, World Bank, and Inter-American Development Bank.</w:t>
      </w:r>
    </w:p>
    <w:p w14:paraId="10B29923" w14:textId="77777777" w:rsidR="00565486" w:rsidRPr="003E4C1F" w:rsidRDefault="00565486" w:rsidP="00565486">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It has supported the development and application of risk assessment methodologies across multiple jurisdictions, including recent work in Mexico under a U.S. Department of State-funded programme, where national-level methodologies have been adapted to support state-level risk analyses. This demonstrates GovRisk’s ability to operationalise risk assessment approaches in complex and decentralised institutional environments.</w:t>
      </w:r>
    </w:p>
    <w:p w14:paraId="232BBF93" w14:textId="49B9D171" w:rsidR="00CF20B0" w:rsidRPr="003E4C1F" w:rsidRDefault="00565486" w:rsidP="00565486">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 xml:space="preserve">A key strength lies in the experience of the proposed expert team. Several experts have directly led or played central roles in national risk assessment processes in the countries covered by this proposal, </w:t>
      </w:r>
      <w:r w:rsidR="00CF20B0" w:rsidRPr="003E4C1F">
        <w:rPr>
          <w:rFonts w:asciiTheme="majorHAnsi" w:hAnsiTheme="majorHAnsi" w:cstheme="majorHAnsi"/>
          <w:color w:val="000000" w:themeColor="text1"/>
        </w:rPr>
        <w:t>including leadership of national risk assessments across multiple jurisdictions, including Uruguay and Paraguay, and direct involvement in Brazil’s national risk assessment processes.</w:t>
      </w:r>
    </w:p>
    <w:p w14:paraId="3C1B2D4A" w14:textId="77777777" w:rsidR="00565486" w:rsidRPr="003E4C1F" w:rsidRDefault="00E06023" w:rsidP="00565486">
      <w:pPr>
        <w:jc w:val="both"/>
        <w:rPr>
          <w:rFonts w:asciiTheme="majorHAnsi" w:hAnsiTheme="majorHAnsi" w:cstheme="majorHAnsi"/>
          <w:color w:val="000000" w:themeColor="text1"/>
        </w:rPr>
      </w:pPr>
      <w:r>
        <w:rPr>
          <w:noProof/>
        </w:rPr>
      </w:r>
      <w:r>
        <w:pict w14:anchorId="2A9078E3">
          <v:rect id="Horizontal Line 8"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9A53437" w14:textId="77777777" w:rsidR="00565486" w:rsidRPr="003E4C1F" w:rsidRDefault="00565486" w:rsidP="00565486">
      <w:pPr>
        <w:pStyle w:val="Heading2"/>
        <w:jc w:val="both"/>
        <w:rPr>
          <w:rFonts w:cstheme="majorHAnsi"/>
          <w:color w:val="000000" w:themeColor="text1"/>
        </w:rPr>
      </w:pPr>
      <w:r w:rsidRPr="003E4C1F">
        <w:rPr>
          <w:rStyle w:val="Strong"/>
          <w:rFonts w:cstheme="majorHAnsi"/>
          <w:b/>
          <w:bCs/>
          <w:color w:val="000000" w:themeColor="text1"/>
        </w:rPr>
        <w:t>Multi-Country Delivery and Regional Capability</w:t>
      </w:r>
    </w:p>
    <w:p w14:paraId="51D114FF" w14:textId="77777777" w:rsidR="00565486" w:rsidRPr="003E4C1F" w:rsidRDefault="00565486" w:rsidP="00565486">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GovRisk also brings experience in delivering multi-country initiatives focused on strengthening cooperation between financial intelligence and supervisory authorities.</w:t>
      </w:r>
    </w:p>
    <w:p w14:paraId="5D1F4D95" w14:textId="6EE6B96F" w:rsidR="00565486" w:rsidRPr="003E4C1F" w:rsidRDefault="00565486" w:rsidP="00565486">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 xml:space="preserve">Under the UK Foreign, Commonwealth and Development Office-funded programme </w:t>
      </w:r>
      <w:r w:rsidRPr="003E4C1F">
        <w:rPr>
          <w:rStyle w:val="Emphasis"/>
          <w:rFonts w:asciiTheme="majorHAnsi" w:hAnsiTheme="majorHAnsi" w:cstheme="majorHAnsi"/>
          <w:color w:val="000000" w:themeColor="text1"/>
        </w:rPr>
        <w:t>“Strategic Institutional Support to Tackle Illicit Financial Flows in Latin America”</w:t>
      </w:r>
      <w:r w:rsidRPr="003E4C1F">
        <w:rPr>
          <w:rFonts w:asciiTheme="majorHAnsi" w:hAnsiTheme="majorHAnsi" w:cstheme="majorHAnsi"/>
          <w:color w:val="000000" w:themeColor="text1"/>
        </w:rPr>
        <w:t xml:space="preserve"> (2023–2024), implemented across </w:t>
      </w:r>
      <w:r w:rsidR="00CF20B0" w:rsidRPr="003E4C1F">
        <w:rPr>
          <w:rFonts w:asciiTheme="majorHAnsi" w:hAnsiTheme="majorHAnsi" w:cstheme="majorHAnsi"/>
          <w:color w:val="000000" w:themeColor="text1"/>
        </w:rPr>
        <w:t xml:space="preserve">Colombia, </w:t>
      </w:r>
      <w:r w:rsidRPr="003E4C1F">
        <w:rPr>
          <w:rFonts w:asciiTheme="majorHAnsi" w:hAnsiTheme="majorHAnsi" w:cstheme="majorHAnsi"/>
          <w:color w:val="000000" w:themeColor="text1"/>
        </w:rPr>
        <w:t>Ecuador, Panama</w:t>
      </w:r>
      <w:r w:rsidR="00CF20B0" w:rsidRPr="003E4C1F">
        <w:rPr>
          <w:rFonts w:asciiTheme="majorHAnsi" w:hAnsiTheme="majorHAnsi" w:cstheme="majorHAnsi"/>
          <w:color w:val="000000" w:themeColor="text1"/>
        </w:rPr>
        <w:t xml:space="preserve"> and Peru,</w:t>
      </w:r>
      <w:r w:rsidRPr="003E4C1F">
        <w:rPr>
          <w:rFonts w:asciiTheme="majorHAnsi" w:hAnsiTheme="majorHAnsi" w:cstheme="majorHAnsi"/>
          <w:color w:val="000000" w:themeColor="text1"/>
        </w:rPr>
        <w:t xml:space="preserve"> GovRisk contributed to the development of a practical guide for joint operations between Financial Intelligence Units. This work was delivered through a participatory approach, involving structured workshops and technical exchanges in which officials from the three countries actively contributed to the design and content of the guidance.</w:t>
      </w:r>
    </w:p>
    <w:p w14:paraId="5C83E4B8" w14:textId="77777777" w:rsidR="00565486" w:rsidRPr="003E4C1F" w:rsidRDefault="00E06023" w:rsidP="00565486">
      <w:pPr>
        <w:jc w:val="both"/>
        <w:rPr>
          <w:rFonts w:asciiTheme="majorHAnsi" w:hAnsiTheme="majorHAnsi" w:cstheme="majorHAnsi"/>
          <w:color w:val="000000" w:themeColor="text1"/>
        </w:rPr>
      </w:pPr>
      <w:r>
        <w:rPr>
          <w:noProof/>
        </w:rPr>
      </w:r>
      <w:r>
        <w:pict w14:anchorId="45598AE3">
          <v:rect id="Horizontal Line 9"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AEA5F54" w14:textId="77777777" w:rsidR="00565486" w:rsidRPr="003E4C1F" w:rsidRDefault="00565486" w:rsidP="00565486">
      <w:pPr>
        <w:pStyle w:val="Heading2"/>
        <w:jc w:val="both"/>
        <w:rPr>
          <w:rFonts w:cstheme="majorHAnsi"/>
          <w:color w:val="000000" w:themeColor="text1"/>
        </w:rPr>
      </w:pPr>
      <w:r w:rsidRPr="003E4C1F">
        <w:rPr>
          <w:rStyle w:val="Strong"/>
          <w:rFonts w:cstheme="majorHAnsi"/>
          <w:b/>
          <w:bCs/>
          <w:color w:val="000000" w:themeColor="text1"/>
        </w:rPr>
        <w:lastRenderedPageBreak/>
        <w:t>Regional Footprint and IDB Alignment</w:t>
      </w:r>
    </w:p>
    <w:p w14:paraId="7592B68E" w14:textId="4C4DF739" w:rsidR="00565486" w:rsidRPr="003E4C1F" w:rsidRDefault="00565486" w:rsidP="00565486">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 xml:space="preserve">GovRisk is also currently implementing a project </w:t>
      </w:r>
      <w:r w:rsidR="0049567C" w:rsidRPr="003E4C1F">
        <w:rPr>
          <w:rFonts w:asciiTheme="majorHAnsi" w:hAnsiTheme="majorHAnsi" w:cstheme="majorHAnsi"/>
          <w:color w:val="000000" w:themeColor="text1"/>
        </w:rPr>
        <w:t xml:space="preserve">in the Caribbean </w:t>
      </w:r>
      <w:r w:rsidRPr="003E4C1F">
        <w:rPr>
          <w:rFonts w:asciiTheme="majorHAnsi" w:hAnsiTheme="majorHAnsi" w:cstheme="majorHAnsi"/>
          <w:color w:val="000000" w:themeColor="text1"/>
        </w:rPr>
        <w:t>funded by the Inter-American Development Bank focused on the design and implementation of frameworks for joint investigative teams in financial investigations and asset recovery, reinforcing its alignment with IDB priorities and operational standards.</w:t>
      </w:r>
    </w:p>
    <w:p w14:paraId="187259F4" w14:textId="77777777" w:rsidR="00565486" w:rsidRPr="003E4C1F" w:rsidRDefault="00E06023" w:rsidP="00565486">
      <w:pPr>
        <w:jc w:val="both"/>
        <w:rPr>
          <w:rFonts w:asciiTheme="majorHAnsi" w:hAnsiTheme="majorHAnsi" w:cstheme="majorHAnsi"/>
          <w:color w:val="000000" w:themeColor="text1"/>
        </w:rPr>
      </w:pPr>
      <w:r>
        <w:rPr>
          <w:noProof/>
        </w:rPr>
      </w:r>
      <w:r>
        <w:pict w14:anchorId="066AB0E1">
          <v:rect id="Horizontal Line 10"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5F19C8F" w14:textId="77777777" w:rsidR="00565486" w:rsidRPr="003E4C1F" w:rsidRDefault="00565486" w:rsidP="00565486">
      <w:pPr>
        <w:pStyle w:val="Heading2"/>
        <w:jc w:val="both"/>
        <w:rPr>
          <w:rFonts w:cstheme="majorHAnsi"/>
          <w:color w:val="000000" w:themeColor="text1"/>
        </w:rPr>
      </w:pPr>
      <w:r w:rsidRPr="003E4C1F">
        <w:rPr>
          <w:rStyle w:val="Strong"/>
          <w:rFonts w:cstheme="majorHAnsi"/>
          <w:b/>
          <w:bCs/>
          <w:color w:val="000000" w:themeColor="text1"/>
        </w:rPr>
        <w:t>Institutional Relationships and Continuity</w:t>
      </w:r>
    </w:p>
    <w:p w14:paraId="51101F9F" w14:textId="77777777" w:rsidR="00565486" w:rsidRPr="003E4C1F" w:rsidRDefault="00565486" w:rsidP="00565486">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A key strength of this proposal lies in continuity. GovRisk has established long-standing working relationships with the partner institutions central to this project, including the COFECI–CRECI system in Brazil, SEPRELAD in Paraguay, and the Unidad de Información Financiera in Argentina.</w:t>
      </w:r>
    </w:p>
    <w:p w14:paraId="7299F265" w14:textId="77777777" w:rsidR="00565486" w:rsidRPr="003E4C1F" w:rsidRDefault="00565486" w:rsidP="00565486">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Formal letters of support have been secured from partner institutions, reflecting both the strength of previous collaboration and a clear commitment to continue working together. Many of the experts proposed for this project have worked together under previous GovRisk-led initiatives, bringing established coordination, institutional knowledge, and trust that will support efficient implementation.</w:t>
      </w:r>
    </w:p>
    <w:p w14:paraId="16F51284" w14:textId="66508C14" w:rsidR="00565486" w:rsidRPr="003E4C1F" w:rsidRDefault="00254BC7" w:rsidP="00565486">
      <w:pPr>
        <w:pStyle w:val="NormalWeb"/>
        <w:jc w:val="both"/>
        <w:rPr>
          <w:rFonts w:asciiTheme="majorHAnsi" w:hAnsiTheme="majorHAnsi" w:cstheme="majorHAnsi"/>
          <w:color w:val="000000" w:themeColor="text1"/>
        </w:rPr>
      </w:pPr>
      <w:r w:rsidRPr="003E4C1F">
        <w:rPr>
          <w:rFonts w:asciiTheme="majorHAnsi" w:hAnsiTheme="majorHAnsi" w:cstheme="majorHAnsi"/>
          <w:color w:val="000000" w:themeColor="text1"/>
        </w:rPr>
        <w:t>GovRisk’s technical expertise, regional experience, and established partnerships position it strongly to deliver the proposed Regional Sectoral Risk Assessment</w:t>
      </w:r>
      <w:r w:rsidR="00565486" w:rsidRPr="003E4C1F">
        <w:rPr>
          <w:rFonts w:asciiTheme="majorHAnsi" w:hAnsiTheme="majorHAnsi" w:cstheme="majorHAnsi"/>
          <w:color w:val="000000" w:themeColor="text1"/>
        </w:rPr>
        <w:t>.</w:t>
      </w:r>
    </w:p>
    <w:p w14:paraId="004DCF28" w14:textId="20577BBB" w:rsidR="007E4C36" w:rsidRPr="003E4C1F" w:rsidRDefault="00000000" w:rsidP="00565486">
      <w:pPr>
        <w:pStyle w:val="Heading1"/>
        <w:jc w:val="both"/>
        <w:rPr>
          <w:rFonts w:cstheme="majorHAnsi"/>
          <w:color w:val="000000" w:themeColor="text1"/>
        </w:rPr>
      </w:pPr>
      <w:r w:rsidRPr="003E4C1F">
        <w:rPr>
          <w:rFonts w:cstheme="majorHAnsi"/>
          <w:color w:val="000000" w:themeColor="text1"/>
        </w:rPr>
        <w:t>F. Annexes</w:t>
      </w:r>
      <w:r w:rsidR="00BE62ED" w:rsidRPr="003E4C1F">
        <w:rPr>
          <w:rFonts w:cstheme="majorHAnsi"/>
          <w:color w:val="000000" w:themeColor="text1"/>
        </w:rPr>
        <w:t xml:space="preserve"> (PENDING)</w:t>
      </w:r>
    </w:p>
    <w:p w14:paraId="571FF00C" w14:textId="77777777" w:rsidR="007E4C36" w:rsidRPr="003E4C1F" w:rsidRDefault="00000000" w:rsidP="00565486">
      <w:pPr>
        <w:jc w:val="both"/>
        <w:rPr>
          <w:rFonts w:asciiTheme="majorHAnsi" w:hAnsiTheme="majorHAnsi" w:cstheme="majorHAnsi"/>
          <w:color w:val="000000" w:themeColor="text1"/>
        </w:rPr>
      </w:pPr>
      <w:r w:rsidRPr="003E4C1F">
        <w:rPr>
          <w:rFonts w:asciiTheme="majorHAnsi" w:hAnsiTheme="majorHAnsi" w:cstheme="majorHAnsi"/>
          <w:color w:val="000000" w:themeColor="text1"/>
        </w:rPr>
        <w:t>- Logframe</w:t>
      </w:r>
    </w:p>
    <w:p w14:paraId="7F48D260" w14:textId="77777777" w:rsidR="007E4C36" w:rsidRPr="003E4C1F" w:rsidRDefault="00000000" w:rsidP="00565486">
      <w:pPr>
        <w:jc w:val="both"/>
        <w:rPr>
          <w:rFonts w:asciiTheme="majorHAnsi" w:hAnsiTheme="majorHAnsi" w:cstheme="majorHAnsi"/>
          <w:color w:val="000000" w:themeColor="text1"/>
        </w:rPr>
      </w:pPr>
      <w:r w:rsidRPr="003E4C1F">
        <w:rPr>
          <w:rFonts w:asciiTheme="majorHAnsi" w:hAnsiTheme="majorHAnsi" w:cstheme="majorHAnsi"/>
          <w:color w:val="000000" w:themeColor="text1"/>
        </w:rPr>
        <w:t>- Workplan</w:t>
      </w:r>
    </w:p>
    <w:p w14:paraId="27BB9ACC" w14:textId="77777777" w:rsidR="007E4C36" w:rsidRPr="003E4C1F" w:rsidRDefault="00000000" w:rsidP="00565486">
      <w:pPr>
        <w:jc w:val="both"/>
        <w:rPr>
          <w:rFonts w:asciiTheme="majorHAnsi" w:hAnsiTheme="majorHAnsi" w:cstheme="majorHAnsi"/>
          <w:color w:val="000000" w:themeColor="text1"/>
        </w:rPr>
      </w:pPr>
      <w:r w:rsidRPr="003E4C1F">
        <w:rPr>
          <w:rFonts w:asciiTheme="majorHAnsi" w:hAnsiTheme="majorHAnsi" w:cstheme="majorHAnsi"/>
          <w:color w:val="000000" w:themeColor="text1"/>
        </w:rPr>
        <w:t>- Letters</w:t>
      </w:r>
    </w:p>
    <w:p w14:paraId="632E4991" w14:textId="77777777" w:rsidR="007E4C36" w:rsidRPr="003E4C1F" w:rsidRDefault="00000000" w:rsidP="00565486">
      <w:pPr>
        <w:jc w:val="both"/>
        <w:rPr>
          <w:rFonts w:asciiTheme="majorHAnsi" w:hAnsiTheme="majorHAnsi" w:cstheme="majorHAnsi"/>
          <w:color w:val="000000" w:themeColor="text1"/>
        </w:rPr>
      </w:pPr>
      <w:r w:rsidRPr="003E4C1F">
        <w:rPr>
          <w:rFonts w:asciiTheme="majorHAnsi" w:hAnsiTheme="majorHAnsi" w:cstheme="majorHAnsi"/>
          <w:color w:val="000000" w:themeColor="text1"/>
        </w:rPr>
        <w:t>- CVs</w:t>
      </w:r>
    </w:p>
    <w:p w14:paraId="01C92821" w14:textId="31EC8463" w:rsidR="007E4C36" w:rsidRPr="003E4C1F" w:rsidRDefault="00000000" w:rsidP="00565486">
      <w:pPr>
        <w:jc w:val="both"/>
        <w:rPr>
          <w:rFonts w:asciiTheme="majorHAnsi" w:hAnsiTheme="majorHAnsi" w:cstheme="majorHAnsi"/>
          <w:color w:val="000000" w:themeColor="text1"/>
        </w:rPr>
      </w:pPr>
      <w:r w:rsidRPr="003E4C1F">
        <w:rPr>
          <w:rFonts w:asciiTheme="majorHAnsi" w:hAnsiTheme="majorHAnsi" w:cstheme="majorHAnsi"/>
          <w:color w:val="000000" w:themeColor="text1"/>
        </w:rPr>
        <w:br/>
      </w:r>
    </w:p>
    <w:p w14:paraId="52B74301" w14:textId="77777777" w:rsidR="00A75E4F" w:rsidRPr="003E4C1F" w:rsidRDefault="00A75E4F">
      <w:pPr>
        <w:jc w:val="both"/>
        <w:rPr>
          <w:rFonts w:asciiTheme="majorHAnsi" w:hAnsiTheme="majorHAnsi" w:cstheme="majorHAnsi"/>
          <w:color w:val="000000" w:themeColor="text1"/>
        </w:rPr>
      </w:pPr>
    </w:p>
    <w:p w14:paraId="4B71A83E" w14:textId="77777777" w:rsidR="00A75E4F" w:rsidRPr="003E4C1F" w:rsidRDefault="00A75E4F">
      <w:pPr>
        <w:jc w:val="both"/>
        <w:rPr>
          <w:rFonts w:asciiTheme="majorHAnsi" w:hAnsiTheme="majorHAnsi" w:cstheme="majorHAnsi"/>
          <w:color w:val="000000" w:themeColor="text1"/>
        </w:rPr>
      </w:pPr>
    </w:p>
    <w:p w14:paraId="29E0CC58" w14:textId="77777777" w:rsidR="00A75E4F" w:rsidRPr="003E4C1F" w:rsidRDefault="00A75E4F">
      <w:pPr>
        <w:jc w:val="both"/>
        <w:rPr>
          <w:rFonts w:asciiTheme="majorHAnsi" w:hAnsiTheme="majorHAnsi" w:cstheme="majorHAnsi"/>
          <w:color w:val="000000" w:themeColor="text1"/>
        </w:rPr>
      </w:pPr>
    </w:p>
    <w:sectPr w:rsidR="00A75E4F" w:rsidRPr="003E4C1F" w:rsidSect="00034616">
      <w:footerReference w:type="even" r:id="rId14"/>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ia Novoa" w:date="2026-04-17T08:24:00Z" w:initials="MN">
    <w:p w14:paraId="1E0595C2" w14:textId="77777777" w:rsidR="00183B90" w:rsidRDefault="00183B90" w:rsidP="00183B90">
      <w:r>
        <w:rPr>
          <w:rStyle w:val="CommentReference"/>
        </w:rPr>
        <w:annotationRef/>
      </w:r>
      <w:r>
        <w:rPr>
          <w:sz w:val="20"/>
          <w:szCs w:val="20"/>
        </w:rPr>
        <w:t>El sector inmobiliario en América Latina se configura como uno de los espacios más críticos dentro de las dinámicas de lavado de dinero (LD) y financiamiento del terrorismo (FT), no únicamente por sus características operativas, sino por su inserción dentro de estructuras económicas más amplias que facilitan la circulación, ocultamiento e integración de recursos ilícitos. La evidencia acumulada por organismos internacionales, particularmente el Grupo de Acción Financiera Internacional (FATF) y el Grupo de Acción Financiera de Latinoamérica (GAFILAT), así como por investigaciones judiciales en la región, permite afirmar que este sector no solo es vulnerable, sino que constituye un componente funcional dentro de los ecosistemas financieros del crimen organizado.</w:t>
      </w:r>
    </w:p>
    <w:p w14:paraId="574EEB39" w14:textId="77777777" w:rsidR="00183B90" w:rsidRDefault="00183B90" w:rsidP="00183B90"/>
    <w:p w14:paraId="09A2C8F2" w14:textId="77777777" w:rsidR="00183B90" w:rsidRDefault="00183B90" w:rsidP="00183B90">
      <w:r>
        <w:rPr>
          <w:sz w:val="20"/>
          <w:szCs w:val="20"/>
        </w:rPr>
        <w:t>Desde una perspectiva estructural, el atractivo del sector inmobiliario para el lavado de dinero radica en su capacidad para transformar grandes volúmenes de capital en activos de apariencia legítima con relativa estabilidad en el tiempo. A diferencia de otros sectores económicos, las transacciones inmobiliarias permiten integrar montos significativos en operaciones individuales, lo que reduce la necesidad de fragmentar el dinero ilícito en múltiples transacciones y, por ende, disminuye la exposición al riesgo de detección. Este rasgo ha sido identificado por el FATF como una de las razones principales por las cuales el sector inmobiliario es recurrentemente utilizado para la fase de integración del lavado de dinero (FATF, Money Laundering and Terrorist Financing through the Real Estate Sector).</w:t>
      </w:r>
    </w:p>
    <w:p w14:paraId="45039A38" w14:textId="77777777" w:rsidR="00183B90" w:rsidRDefault="00183B90" w:rsidP="00183B90"/>
    <w:p w14:paraId="364039ED" w14:textId="77777777" w:rsidR="00183B90" w:rsidRDefault="00183B90" w:rsidP="00183B90">
      <w:r>
        <w:rPr>
          <w:sz w:val="20"/>
          <w:szCs w:val="20"/>
        </w:rPr>
        <w:t>Sin embargo, más allá del volumen de las transacciones, el sector presenta una característica aún más crítica: su capacidad para convertir liquidez de origen ilícito —frecuentemente generada en economías informales o criminales— en activos tangibles que se integran plenamente en la economía formal. Este proceso no solo permite ocultar el origen de los fondos, sino también conferirles una apariencia de legitimidad, facilitando su uso posterior en actividades económicas legales. En este sentido, el sector inmobiliario actúa como un puente entre economías ilícitas y formales, desempeñando un rol clave en la consolidación patrimonial de organizaciones criminales.</w:t>
      </w:r>
    </w:p>
    <w:p w14:paraId="58FAFBEF" w14:textId="77777777" w:rsidR="00183B90" w:rsidRDefault="00183B90" w:rsidP="00183B90"/>
    <w:p w14:paraId="2F9FDA90" w14:textId="77777777" w:rsidR="00183B90" w:rsidRDefault="00183B90" w:rsidP="00183B90">
      <w:r>
        <w:rPr>
          <w:sz w:val="20"/>
          <w:szCs w:val="20"/>
        </w:rPr>
        <w:t>A esta función se suma su rol como mecanismo de almacenamiento y valorización de riqueza. Los bienes inmuebles permiten a las organizaciones criminales preservar valor en el largo plazo, protegerse frente a la volatilidad de otros activos y, en muchos casos, generar flujos adicionales de ingresos a través de alquileres o desarrollos. Este elemento es particularmente relevante en contextos de inestabilidad macroeconómica o alta inflación, como los observados en algunos países de la región, donde el sector inmobiliario se convierte en un refugio tanto para capitales lícitos como ilícitos, dificultando la diferenciación entre ambos.</w:t>
      </w:r>
    </w:p>
    <w:p w14:paraId="22909EE1" w14:textId="77777777" w:rsidR="00183B90" w:rsidRDefault="00183B90" w:rsidP="00183B90"/>
    <w:p w14:paraId="212BEC0A" w14:textId="77777777" w:rsidR="00183B90" w:rsidRDefault="00183B90" w:rsidP="00183B90">
      <w:r>
        <w:rPr>
          <w:sz w:val="20"/>
          <w:szCs w:val="20"/>
        </w:rPr>
        <w:t>Otra dimensión estructural clave es la complejidad operativa y jurídica del sector, que facilita la ocultación de la titularidad real de los activos. Las transacciones inmobiliarias suelen involucrar múltiples actores —agentes inmobiliarios, notarios, abogados, desarrolladores, instituciones financieras— y una variedad de instrumentos legales, incluyendo sociedades mercantiles, fideicomisos y estructuras corporativas transnacionales. Esta multiplicidad de intermediarios y vehículos jurídicos genera espacios de opacidad que pueden ser explotados para ocultar al beneficiario final de las operaciones. Las Evaluaciones Mutuas del GAFILAT, particularmente en Brasil (2023), han señalado limitaciones en la transparencia y disponibilidad de información sobre beneficiarios finales como un factor que incrementa el riesgo en este tipo de transacciones.</w:t>
      </w:r>
    </w:p>
    <w:p w14:paraId="2D0B0E5B" w14:textId="77777777" w:rsidR="00183B90" w:rsidRDefault="00183B90" w:rsidP="00183B90"/>
    <w:p w14:paraId="1C3280EB" w14:textId="77777777" w:rsidR="00183B90" w:rsidRDefault="00183B90" w:rsidP="00183B90">
      <w:r>
        <w:rPr>
          <w:sz w:val="20"/>
          <w:szCs w:val="20"/>
        </w:rPr>
        <w:t>En este contexto, el sector inmobiliario no puede ser analizado de manera aislada, sino como parte de un entorno de riesgo interconectado, en el cual convergen el sistema financiero, las DNFBPs y las economías ilícitas. Los flujos de dinero que ingresan al sector inmobiliario suelen haber transitado previamente por otras capas del sistema económico, incluyendo instituciones financieras, empresas fachada y redes informales de transferencia de valor. Esta interconexión permite a las organizaciones criminales diversificar sus estrategias de lavado, utilizando distintos canales de manera complementaria para reducir el riesgo de detección. Por ejemplo, fondos provenientes del narcotráfico pueden ser inicialmente colocados en el sistema financiero mediante operaciones estructuradas, posteriormente canalizados a través de empresas pantalla y finalmente invertidos en bienes inmuebles, cerrando así el ciclo de lavado.</w:t>
      </w:r>
    </w:p>
    <w:p w14:paraId="58887243" w14:textId="77777777" w:rsidR="00183B90" w:rsidRDefault="00183B90" w:rsidP="00183B90"/>
    <w:p w14:paraId="05946BB4" w14:textId="77777777" w:rsidR="00183B90" w:rsidRDefault="00183B90" w:rsidP="00183B90">
      <w:r>
        <w:rPr>
          <w:sz w:val="20"/>
          <w:szCs w:val="20"/>
        </w:rPr>
        <w:t>La evidencia regional confirma la centralidad del sector inmobiliario en estas dinámicas. La Actualización de la Evaluación de Amenazas Regionales del GAFILAT (2022–2023) identifica al sector como uno de los más frecuentemente utilizados para el lavado de activos en América Latina, señalando que aproximadamente el 12% de los casos judiciales analizados involucran al sector inmobiliario. Este dato resulta particularmente significativo si se considera que los casos judicializados representan solo una fracción de las operaciones reales, lo que sugiere que la incidencia del sector podría ser considerablemente mayor. Además, la recurrencia del sector en distintas tipologías y jurisdicciones indica que su uso no es incidental, sino sistemático.</w:t>
      </w:r>
    </w:p>
    <w:p w14:paraId="29F4996E" w14:textId="77777777" w:rsidR="00183B90" w:rsidRDefault="00183B90" w:rsidP="00183B90"/>
    <w:p w14:paraId="27AEDDEA" w14:textId="77777777" w:rsidR="00183B90" w:rsidRDefault="00183B90" w:rsidP="00183B90">
      <w:r>
        <w:rPr>
          <w:sz w:val="20"/>
          <w:szCs w:val="20"/>
        </w:rPr>
        <w:t>Las tipologías de lavado asociadas al sector inmobiliario presentan patrones recurrentes y altamente sofisticados. Entre las más comunes se encuentran el uso de empresas fachada para adquirir propiedades, la utilización de testaferros para ocultar la identidad del verdadero propietario, la creación de estructuras corporativas en múltiples capas y jurisdicciones, y el uso de transacciones en efectivo para evitar la trazabilidad financiera. Asimismo, la manipulación del valor de las propiedades —mediante subvaluación o sobrevaluación— permite ajustar artificialmente el monto de la transacción para integrar cantidades específicas de dinero ilícito o generar ganancias aparentes. Estas prácticas no solo facilitan el lavado de dinero, sino que también distorsionan los mercados inmobiliarios y afectan la competencia económica.</w:t>
      </w:r>
    </w:p>
    <w:p w14:paraId="7A842263" w14:textId="77777777" w:rsidR="00183B90" w:rsidRDefault="00183B90" w:rsidP="00183B90"/>
    <w:p w14:paraId="3A281BA3" w14:textId="77777777" w:rsidR="00183B90" w:rsidRDefault="00183B90" w:rsidP="00183B90">
      <w:r>
        <w:rPr>
          <w:sz w:val="20"/>
          <w:szCs w:val="20"/>
        </w:rPr>
        <w:t>El segmento de la construcción y desarrollo inmobiliario introduce una capa adicional de complejidad. A diferencia de las transacciones de compra directa, los proyectos de desarrollo implican flujos financieros continuos, múltiples inversionistas y una cadena de valor extensa que puede incluir proveedores, contratistas y subcontratistas. Esta estructura permite la introducción gradual de fondos ilícitos a lo largo del tiempo, dificultando su detección y facilitando su integración progresiva. Además, los costos asociados a estos proyectos pueden ser inflados o manipulados para justificar la incorporación de capital adicional de origen ilícito.</w:t>
      </w:r>
    </w:p>
    <w:p w14:paraId="2FB916CE" w14:textId="77777777" w:rsidR="00183B90" w:rsidRDefault="00183B90" w:rsidP="00183B90"/>
    <w:p w14:paraId="6AACA776" w14:textId="77777777" w:rsidR="00183B90" w:rsidRDefault="00183B90" w:rsidP="00183B90">
      <w:r>
        <w:rPr>
          <w:sz w:val="20"/>
          <w:szCs w:val="20"/>
        </w:rPr>
        <w:t>La relación entre el sector inmobiliario y la criminalidad organizada ha sido ampliamente documentada en la región. En Brasil, investigaciones judiciales han demostrado cómo organizaciones como el Primeiro Comando da Capital (PCC) y el Comando Vermelho (CV) utilizan el sector inmobiliario como parte de sus estrategias financieras, no solo para lavar dinero, sino también para diversificar sus activos, consolidar su poder económico y asegurar la sostenibilidad de sus operaciones en el largo plazo. Este tipo de evidencia confirma que el sector inmobiliario no es simplemente un canal pasivo, sino un instrumento estratégico dentro de las economías criminales.</w:t>
      </w:r>
    </w:p>
    <w:p w14:paraId="7CA156C5" w14:textId="77777777" w:rsidR="00183B90" w:rsidRDefault="00183B90" w:rsidP="00183B90"/>
    <w:p w14:paraId="548ABBE6" w14:textId="77777777" w:rsidR="00183B90" w:rsidRDefault="00183B90" w:rsidP="00183B90">
      <w:r>
        <w:rPr>
          <w:sz w:val="20"/>
          <w:szCs w:val="20"/>
        </w:rPr>
        <w:t>Desde la perspectiva de la macrocriminalidad, el sector inmobiliario forma parte de una infraestructura económica más amplia que permite a las organizaciones criminales operar de manera sostenida. En este marco, los bienes inmuebles no solo representan activos, sino también herramientas para el control territorial, la legitimación social y la infiltración en economías locales. Por ejemplo, la adquisición de propiedades en determinadas zonas puede facilitar el control de mercados ilícitos o el establecimiento de redes logísticas para actividades criminales.</w:t>
      </w:r>
    </w:p>
    <w:p w14:paraId="69575BD1" w14:textId="77777777" w:rsidR="00183B90" w:rsidRDefault="00183B90" w:rsidP="00183B90"/>
    <w:p w14:paraId="0B207EBF" w14:textId="77777777" w:rsidR="00183B90" w:rsidRDefault="00183B90" w:rsidP="00183B90">
      <w:r>
        <w:rPr>
          <w:sz w:val="20"/>
          <w:szCs w:val="20"/>
        </w:rPr>
        <w:t>En suma, las vulnerabilidades estructurales del sector inmobiliario, combinadas con la evidencia empírica disponible a nivel regional, demuestran que este sector ocupa una posición central en las dinámicas de lavado de dinero en América Latina. Su análisis requiere un enfoque que integre dimensiones económicas, jurídicas y criminales, y que reconozca su rol dentro de sistemas más amplios de generación y circulación de riqueza ilícita. La comprensión profunda de estas vulnerabilidades es un paso indispensable para el diseño de políticas públicas efectivas, estrategias de supervisión basadas en riesgos y mecanismos de cooperación regional que permitan reducir de manera sustantiva la capacidad de las organizaciones criminales para operar en la economía formal.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207EB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5385E3" w16cex:dateUtc="2026-04-17T14: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207EBF" w16cid:durableId="0C5385E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08F93" w14:textId="77777777" w:rsidR="00E06023" w:rsidRDefault="00E06023" w:rsidP="00FC765D">
      <w:pPr>
        <w:spacing w:after="0" w:line="240" w:lineRule="auto"/>
      </w:pPr>
      <w:r>
        <w:separator/>
      </w:r>
    </w:p>
  </w:endnote>
  <w:endnote w:type="continuationSeparator" w:id="0">
    <w:p w14:paraId="59AD17DC" w14:textId="77777777" w:rsidR="00E06023" w:rsidRDefault="00E06023" w:rsidP="00FC76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89893434"/>
      <w:docPartObj>
        <w:docPartGallery w:val="Page Numbers (Bottom of Page)"/>
        <w:docPartUnique/>
      </w:docPartObj>
    </w:sdtPr>
    <w:sdtContent>
      <w:p w14:paraId="6D49BC21" w14:textId="1A5B9066" w:rsidR="00FC765D" w:rsidRDefault="00FC765D" w:rsidP="00976A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DC8D96C" w14:textId="77777777" w:rsidR="00FC765D" w:rsidRDefault="00FC765D" w:rsidP="00FC765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38919652"/>
      <w:docPartObj>
        <w:docPartGallery w:val="Page Numbers (Bottom of Page)"/>
        <w:docPartUnique/>
      </w:docPartObj>
    </w:sdtPr>
    <w:sdtContent>
      <w:p w14:paraId="361BFE0D" w14:textId="7CF01141" w:rsidR="00FC765D" w:rsidRDefault="00FC765D" w:rsidP="00976A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FD4E9D9" w14:textId="77777777" w:rsidR="00FC765D" w:rsidRDefault="00FC765D" w:rsidP="00FC765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65D41" w14:textId="77777777" w:rsidR="00E06023" w:rsidRDefault="00E06023" w:rsidP="00FC765D">
      <w:pPr>
        <w:spacing w:after="0" w:line="240" w:lineRule="auto"/>
      </w:pPr>
      <w:r>
        <w:separator/>
      </w:r>
    </w:p>
  </w:footnote>
  <w:footnote w:type="continuationSeparator" w:id="0">
    <w:p w14:paraId="4924D1AC" w14:textId="77777777" w:rsidR="00E06023" w:rsidRDefault="00E06023" w:rsidP="00FC76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5D23DD"/>
    <w:multiLevelType w:val="multilevel"/>
    <w:tmpl w:val="06EA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373788"/>
    <w:multiLevelType w:val="hybridMultilevel"/>
    <w:tmpl w:val="2A9850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094973D7"/>
    <w:multiLevelType w:val="multilevel"/>
    <w:tmpl w:val="9B7A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F95428"/>
    <w:multiLevelType w:val="multilevel"/>
    <w:tmpl w:val="9D62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0B4A63"/>
    <w:multiLevelType w:val="hybridMultilevel"/>
    <w:tmpl w:val="E892DE3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143D1F93"/>
    <w:multiLevelType w:val="multilevel"/>
    <w:tmpl w:val="223A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E84F93"/>
    <w:multiLevelType w:val="multilevel"/>
    <w:tmpl w:val="01E4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72180C"/>
    <w:multiLevelType w:val="multilevel"/>
    <w:tmpl w:val="57E6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E05339"/>
    <w:multiLevelType w:val="multilevel"/>
    <w:tmpl w:val="CCCAE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043787"/>
    <w:multiLevelType w:val="hybridMultilevel"/>
    <w:tmpl w:val="D0689B0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2D7B785E"/>
    <w:multiLevelType w:val="hybridMultilevel"/>
    <w:tmpl w:val="FCD2A43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2ED02D7C"/>
    <w:multiLevelType w:val="multilevel"/>
    <w:tmpl w:val="5E38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B90A68"/>
    <w:multiLevelType w:val="multilevel"/>
    <w:tmpl w:val="BBDC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6B73C0"/>
    <w:multiLevelType w:val="hybridMultilevel"/>
    <w:tmpl w:val="5B8689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30341A6"/>
    <w:multiLevelType w:val="hybridMultilevel"/>
    <w:tmpl w:val="946683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6162E05"/>
    <w:multiLevelType w:val="multilevel"/>
    <w:tmpl w:val="7C683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3C1395"/>
    <w:multiLevelType w:val="multilevel"/>
    <w:tmpl w:val="E8D0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870FD0"/>
    <w:multiLevelType w:val="multilevel"/>
    <w:tmpl w:val="AC92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2D0B08"/>
    <w:multiLevelType w:val="multilevel"/>
    <w:tmpl w:val="CD3A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96120B"/>
    <w:multiLevelType w:val="multilevel"/>
    <w:tmpl w:val="C77A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6F72CB"/>
    <w:multiLevelType w:val="multilevel"/>
    <w:tmpl w:val="597E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9721FD"/>
    <w:multiLevelType w:val="hybridMultilevel"/>
    <w:tmpl w:val="3BC21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124DB2"/>
    <w:multiLevelType w:val="multilevel"/>
    <w:tmpl w:val="D626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9D6B8E"/>
    <w:multiLevelType w:val="multilevel"/>
    <w:tmpl w:val="03180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E50BE4"/>
    <w:multiLevelType w:val="multilevel"/>
    <w:tmpl w:val="92B0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0552BA"/>
    <w:multiLevelType w:val="hybridMultilevel"/>
    <w:tmpl w:val="23000B1C"/>
    <w:lvl w:ilvl="0" w:tplc="0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CB660EB"/>
    <w:multiLevelType w:val="multilevel"/>
    <w:tmpl w:val="DAE0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6A58EA"/>
    <w:multiLevelType w:val="multilevel"/>
    <w:tmpl w:val="BA50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2424DA"/>
    <w:multiLevelType w:val="hybridMultilevel"/>
    <w:tmpl w:val="7D3E384E"/>
    <w:lvl w:ilvl="0" w:tplc="45820BC2">
      <w:start w:val="2"/>
      <w:numFmt w:val="bullet"/>
      <w:lvlText w:val="-"/>
      <w:lvlJc w:val="left"/>
      <w:pPr>
        <w:ind w:left="720" w:hanging="360"/>
      </w:pPr>
      <w:rPr>
        <w:rFonts w:ascii="Calibri" w:eastAsiaTheme="minorEastAsia"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702B26"/>
    <w:multiLevelType w:val="multilevel"/>
    <w:tmpl w:val="34EE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0A3A7B"/>
    <w:multiLevelType w:val="hybridMultilevel"/>
    <w:tmpl w:val="7F9285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7D8B2322"/>
    <w:multiLevelType w:val="multilevel"/>
    <w:tmpl w:val="10B0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0604EA"/>
    <w:multiLevelType w:val="multilevel"/>
    <w:tmpl w:val="6AE43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9964332">
    <w:abstractNumId w:val="8"/>
  </w:num>
  <w:num w:numId="2" w16cid:durableId="1103837494">
    <w:abstractNumId w:val="6"/>
  </w:num>
  <w:num w:numId="3" w16cid:durableId="328290946">
    <w:abstractNumId w:val="5"/>
  </w:num>
  <w:num w:numId="4" w16cid:durableId="2144618275">
    <w:abstractNumId w:val="4"/>
  </w:num>
  <w:num w:numId="5" w16cid:durableId="903180479">
    <w:abstractNumId w:val="7"/>
  </w:num>
  <w:num w:numId="6" w16cid:durableId="1545673218">
    <w:abstractNumId w:val="3"/>
  </w:num>
  <w:num w:numId="7" w16cid:durableId="424500661">
    <w:abstractNumId w:val="2"/>
  </w:num>
  <w:num w:numId="8" w16cid:durableId="1734038649">
    <w:abstractNumId w:val="1"/>
  </w:num>
  <w:num w:numId="9" w16cid:durableId="1502358031">
    <w:abstractNumId w:val="0"/>
  </w:num>
  <w:num w:numId="10" w16cid:durableId="264384008">
    <w:abstractNumId w:val="35"/>
  </w:num>
  <w:num w:numId="11" w16cid:durableId="1312638583">
    <w:abstractNumId w:val="14"/>
  </w:num>
  <w:num w:numId="12" w16cid:durableId="593705829">
    <w:abstractNumId w:val="38"/>
  </w:num>
  <w:num w:numId="13" w16cid:durableId="1992753299">
    <w:abstractNumId w:val="27"/>
  </w:num>
  <w:num w:numId="14" w16cid:durableId="788430246">
    <w:abstractNumId w:val="25"/>
  </w:num>
  <w:num w:numId="15" w16cid:durableId="2091659438">
    <w:abstractNumId w:val="17"/>
  </w:num>
  <w:num w:numId="16" w16cid:durableId="20326992">
    <w:abstractNumId w:val="40"/>
  </w:num>
  <w:num w:numId="17" w16cid:durableId="1058626139">
    <w:abstractNumId w:val="41"/>
  </w:num>
  <w:num w:numId="18" w16cid:durableId="175341460">
    <w:abstractNumId w:val="22"/>
  </w:num>
  <w:num w:numId="19" w16cid:durableId="1644578427">
    <w:abstractNumId w:val="37"/>
  </w:num>
  <w:num w:numId="20" w16cid:durableId="1118334713">
    <w:abstractNumId w:val="32"/>
  </w:num>
  <w:num w:numId="21" w16cid:durableId="1383017128">
    <w:abstractNumId w:val="28"/>
  </w:num>
  <w:num w:numId="22" w16cid:durableId="977488805">
    <w:abstractNumId w:val="24"/>
  </w:num>
  <w:num w:numId="23" w16cid:durableId="1581013947">
    <w:abstractNumId w:val="29"/>
  </w:num>
  <w:num w:numId="24" w16cid:durableId="1304845171">
    <w:abstractNumId w:val="33"/>
  </w:num>
  <w:num w:numId="25" w16cid:durableId="2095348450">
    <w:abstractNumId w:val="16"/>
  </w:num>
  <w:num w:numId="26" w16cid:durableId="1625428517">
    <w:abstractNumId w:val="11"/>
  </w:num>
  <w:num w:numId="27" w16cid:durableId="56437982">
    <w:abstractNumId w:val="9"/>
  </w:num>
  <w:num w:numId="28" w16cid:durableId="1939488470">
    <w:abstractNumId w:val="36"/>
  </w:num>
  <w:num w:numId="29" w16cid:durableId="852450942">
    <w:abstractNumId w:val="31"/>
  </w:num>
  <w:num w:numId="30" w16cid:durableId="1642267219">
    <w:abstractNumId w:val="26"/>
  </w:num>
  <w:num w:numId="31" w16cid:durableId="959998327">
    <w:abstractNumId w:val="30"/>
  </w:num>
  <w:num w:numId="32" w16cid:durableId="230584538">
    <w:abstractNumId w:val="20"/>
  </w:num>
  <w:num w:numId="33" w16cid:durableId="1415282445">
    <w:abstractNumId w:val="39"/>
  </w:num>
  <w:num w:numId="34" w16cid:durableId="166333238">
    <w:abstractNumId w:val="12"/>
  </w:num>
  <w:num w:numId="35" w16cid:durableId="931201715">
    <w:abstractNumId w:val="23"/>
  </w:num>
  <w:num w:numId="36" w16cid:durableId="1168863291">
    <w:abstractNumId w:val="15"/>
  </w:num>
  <w:num w:numId="37" w16cid:durableId="1197544315">
    <w:abstractNumId w:val="10"/>
  </w:num>
  <w:num w:numId="38" w16cid:durableId="1519074795">
    <w:abstractNumId w:val="21"/>
  </w:num>
  <w:num w:numId="39" w16cid:durableId="25493878">
    <w:abstractNumId w:val="19"/>
  </w:num>
  <w:num w:numId="40" w16cid:durableId="778838448">
    <w:abstractNumId w:val="13"/>
  </w:num>
  <w:num w:numId="41" w16cid:durableId="1700817053">
    <w:abstractNumId w:val="18"/>
  </w:num>
  <w:num w:numId="42" w16cid:durableId="2005739829">
    <w:abstractNumId w:val="3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a Novoa">
    <w15:presenceInfo w15:providerId="Windows Live" w15:userId="114a2d725f6c9a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5C2"/>
    <w:rsid w:val="00015F39"/>
    <w:rsid w:val="00034616"/>
    <w:rsid w:val="0006063C"/>
    <w:rsid w:val="00075572"/>
    <w:rsid w:val="000C4DE7"/>
    <w:rsid w:val="000E010C"/>
    <w:rsid w:val="001319E3"/>
    <w:rsid w:val="0015074B"/>
    <w:rsid w:val="00164799"/>
    <w:rsid w:val="00173F89"/>
    <w:rsid w:val="00183B90"/>
    <w:rsid w:val="001B5091"/>
    <w:rsid w:val="00220E79"/>
    <w:rsid w:val="00227483"/>
    <w:rsid w:val="00241699"/>
    <w:rsid w:val="00254BC7"/>
    <w:rsid w:val="00257C4C"/>
    <w:rsid w:val="00287A2C"/>
    <w:rsid w:val="0029639D"/>
    <w:rsid w:val="002C01DC"/>
    <w:rsid w:val="002C7482"/>
    <w:rsid w:val="00326F90"/>
    <w:rsid w:val="003317FE"/>
    <w:rsid w:val="00394FFB"/>
    <w:rsid w:val="00397629"/>
    <w:rsid w:val="003A2371"/>
    <w:rsid w:val="003C0CE1"/>
    <w:rsid w:val="003C68A9"/>
    <w:rsid w:val="003E4C1F"/>
    <w:rsid w:val="004749F1"/>
    <w:rsid w:val="0049567C"/>
    <w:rsid w:val="004B73B2"/>
    <w:rsid w:val="004C5A80"/>
    <w:rsid w:val="004D15D1"/>
    <w:rsid w:val="004D6372"/>
    <w:rsid w:val="004F1920"/>
    <w:rsid w:val="00507734"/>
    <w:rsid w:val="0052354A"/>
    <w:rsid w:val="00565486"/>
    <w:rsid w:val="00570144"/>
    <w:rsid w:val="00582EB0"/>
    <w:rsid w:val="005A5503"/>
    <w:rsid w:val="005F308B"/>
    <w:rsid w:val="0063414E"/>
    <w:rsid w:val="007E3D90"/>
    <w:rsid w:val="007E4C36"/>
    <w:rsid w:val="00824512"/>
    <w:rsid w:val="00832C9E"/>
    <w:rsid w:val="00841B3F"/>
    <w:rsid w:val="008512FE"/>
    <w:rsid w:val="008963D5"/>
    <w:rsid w:val="008A723E"/>
    <w:rsid w:val="008D62C5"/>
    <w:rsid w:val="008F2B6F"/>
    <w:rsid w:val="00956FA2"/>
    <w:rsid w:val="00965CAD"/>
    <w:rsid w:val="00A028B2"/>
    <w:rsid w:val="00A10E95"/>
    <w:rsid w:val="00A75E4F"/>
    <w:rsid w:val="00A96A84"/>
    <w:rsid w:val="00AA1D8D"/>
    <w:rsid w:val="00B47730"/>
    <w:rsid w:val="00B5452E"/>
    <w:rsid w:val="00BE62ED"/>
    <w:rsid w:val="00BF6FDA"/>
    <w:rsid w:val="00C15E16"/>
    <w:rsid w:val="00C57482"/>
    <w:rsid w:val="00C823A5"/>
    <w:rsid w:val="00CB0664"/>
    <w:rsid w:val="00CF0008"/>
    <w:rsid w:val="00CF20B0"/>
    <w:rsid w:val="00D170C9"/>
    <w:rsid w:val="00D314DA"/>
    <w:rsid w:val="00D77345"/>
    <w:rsid w:val="00DD3776"/>
    <w:rsid w:val="00E06023"/>
    <w:rsid w:val="00E34630"/>
    <w:rsid w:val="00E3765D"/>
    <w:rsid w:val="00E72C0A"/>
    <w:rsid w:val="00E802BD"/>
    <w:rsid w:val="00EF4D6F"/>
    <w:rsid w:val="00F82A17"/>
    <w:rsid w:val="00F83434"/>
    <w:rsid w:val="00F969FC"/>
    <w:rsid w:val="00FC693F"/>
    <w:rsid w:val="00FC76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6"/>
    <o:shapelayout v:ext="edit">
      <o:idmap v:ext="edit" data="1"/>
    </o:shapelayout>
  </w:shapeDefaults>
  <w:decimalSymbol w:val=","/>
  <w:listSeparator w:val=","/>
  <w14:docId w14:val="613CC4B6"/>
  <w14:defaultImageDpi w14:val="300"/>
  <w15:docId w15:val="{535A9F88-69E3-0943-8C41-42EFA3154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C0CE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C0CE1"/>
    <w:rPr>
      <w:color w:val="0000FF" w:themeColor="hyperlink"/>
      <w:u w:val="single"/>
    </w:rPr>
  </w:style>
  <w:style w:type="character" w:styleId="UnresolvedMention">
    <w:name w:val="Unresolved Mention"/>
    <w:basedOn w:val="DefaultParagraphFont"/>
    <w:uiPriority w:val="99"/>
    <w:semiHidden/>
    <w:unhideWhenUsed/>
    <w:rsid w:val="003C0CE1"/>
    <w:rPr>
      <w:color w:val="605E5C"/>
      <w:shd w:val="clear" w:color="auto" w:fill="E1DFDD"/>
    </w:rPr>
  </w:style>
  <w:style w:type="character" w:styleId="PageNumber">
    <w:name w:val="page number"/>
    <w:basedOn w:val="DefaultParagraphFont"/>
    <w:uiPriority w:val="99"/>
    <w:semiHidden/>
    <w:unhideWhenUsed/>
    <w:rsid w:val="00FC765D"/>
  </w:style>
  <w:style w:type="paragraph" w:styleId="FootnoteText">
    <w:name w:val="footnote text"/>
    <w:basedOn w:val="Normal"/>
    <w:link w:val="FootnoteTextChar"/>
    <w:uiPriority w:val="99"/>
    <w:semiHidden/>
    <w:unhideWhenUsed/>
    <w:rsid w:val="00C5748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57482"/>
    <w:rPr>
      <w:rFonts w:ascii="Calibri" w:hAnsi="Calibri"/>
      <w:sz w:val="20"/>
      <w:szCs w:val="20"/>
    </w:rPr>
  </w:style>
  <w:style w:type="character" w:styleId="FootnoteReference">
    <w:name w:val="footnote reference"/>
    <w:basedOn w:val="DefaultParagraphFont"/>
    <w:uiPriority w:val="99"/>
    <w:semiHidden/>
    <w:unhideWhenUsed/>
    <w:rsid w:val="00C57482"/>
    <w:rPr>
      <w:vertAlign w:val="superscript"/>
    </w:rPr>
  </w:style>
  <w:style w:type="character" w:styleId="CommentReference">
    <w:name w:val="annotation reference"/>
    <w:basedOn w:val="DefaultParagraphFont"/>
    <w:uiPriority w:val="99"/>
    <w:semiHidden/>
    <w:unhideWhenUsed/>
    <w:rsid w:val="00183B90"/>
    <w:rPr>
      <w:sz w:val="16"/>
      <w:szCs w:val="16"/>
    </w:rPr>
  </w:style>
  <w:style w:type="paragraph" w:styleId="CommentText">
    <w:name w:val="annotation text"/>
    <w:basedOn w:val="Normal"/>
    <w:link w:val="CommentTextChar"/>
    <w:uiPriority w:val="99"/>
    <w:semiHidden/>
    <w:unhideWhenUsed/>
    <w:rsid w:val="00183B90"/>
    <w:pPr>
      <w:spacing w:line="240" w:lineRule="auto"/>
    </w:pPr>
    <w:rPr>
      <w:sz w:val="20"/>
      <w:szCs w:val="20"/>
    </w:rPr>
  </w:style>
  <w:style w:type="character" w:customStyle="1" w:styleId="CommentTextChar">
    <w:name w:val="Comment Text Char"/>
    <w:basedOn w:val="DefaultParagraphFont"/>
    <w:link w:val="CommentText"/>
    <w:uiPriority w:val="99"/>
    <w:semiHidden/>
    <w:rsid w:val="00183B90"/>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183B90"/>
    <w:rPr>
      <w:b/>
      <w:bCs/>
    </w:rPr>
  </w:style>
  <w:style w:type="character" w:customStyle="1" w:styleId="CommentSubjectChar">
    <w:name w:val="Comment Subject Char"/>
    <w:basedOn w:val="CommentTextChar"/>
    <w:link w:val="CommentSubject"/>
    <w:uiPriority w:val="99"/>
    <w:semiHidden/>
    <w:rsid w:val="00183B90"/>
    <w:rPr>
      <w:rFonts w:ascii="Calibri" w:hAnsi="Calibri"/>
      <w:b/>
      <w:bCs/>
      <w:sz w:val="20"/>
      <w:szCs w:val="20"/>
    </w:rPr>
  </w:style>
  <w:style w:type="paragraph" w:styleId="HTMLPreformatted">
    <w:name w:val="HTML Preformatted"/>
    <w:basedOn w:val="Normal"/>
    <w:link w:val="HTMLPreformattedChar"/>
    <w:uiPriority w:val="99"/>
    <w:semiHidden/>
    <w:unhideWhenUsed/>
    <w:rsid w:val="00BF6FDA"/>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BF6FDA"/>
    <w:rPr>
      <w:rFonts w:ascii="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hyperlink" Target="http://www.govrisk.org"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21</Pages>
  <Words>8426</Words>
  <Characters>52664</Characters>
  <Application>Microsoft Office Word</Application>
  <DocSecurity>0</DocSecurity>
  <Lines>752</Lines>
  <Paragraphs>202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Mark Willcock</cp:lastModifiedBy>
  <cp:revision>18</cp:revision>
  <dcterms:created xsi:type="dcterms:W3CDTF">2026-04-20T12:23:00Z</dcterms:created>
  <dcterms:modified xsi:type="dcterms:W3CDTF">2026-04-20T15:55:00Z</dcterms:modified>
  <cp:category/>
</cp:coreProperties>
</file>