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68A3" w14:textId="50A54BBD" w:rsidR="007E4C36" w:rsidRPr="003A2371" w:rsidRDefault="00220E79" w:rsidP="00220E79">
      <w:pPr>
        <w:pStyle w:val="Title"/>
        <w:jc w:val="both"/>
        <w:rPr>
          <w:rFonts w:cstheme="majorHAnsi"/>
        </w:rPr>
      </w:pPr>
      <w:r w:rsidRPr="003A2371">
        <w:rPr>
          <w:rFonts w:cstheme="majorHAnsi"/>
          <w:noProof/>
          <w:color w:val="000000"/>
          <w:sz w:val="20"/>
          <w:szCs w:val="20"/>
        </w:rPr>
        <w:drawing>
          <wp:anchor distT="0" distB="0" distL="114300" distR="114300" simplePos="0" relativeHeight="251659264" behindDoc="1" locked="0" layoutInCell="1" allowOverlap="1" wp14:anchorId="59BA500C" wp14:editId="7964A89E">
            <wp:simplePos x="0" y="0"/>
            <wp:positionH relativeFrom="column">
              <wp:posOffset>3964132</wp:posOffset>
            </wp:positionH>
            <wp:positionV relativeFrom="paragraph">
              <wp:posOffset>0</wp:posOffset>
            </wp:positionV>
            <wp:extent cx="2278380" cy="637540"/>
            <wp:effectExtent l="0" t="0" r="0" b="0"/>
            <wp:wrapTight wrapText="bothSides">
              <wp:wrapPolygon edited="0">
                <wp:start x="17699" y="1721"/>
                <wp:lineTo x="2649" y="3012"/>
                <wp:lineTo x="602" y="3873"/>
                <wp:lineTo x="602" y="11618"/>
                <wp:lineTo x="963" y="16351"/>
                <wp:lineTo x="2288" y="18502"/>
                <wp:lineTo x="2649" y="19363"/>
                <wp:lineTo x="16856" y="19363"/>
                <wp:lineTo x="20468" y="18502"/>
                <wp:lineTo x="21070" y="18072"/>
                <wp:lineTo x="20589" y="16351"/>
                <wp:lineTo x="20709" y="9036"/>
                <wp:lineTo x="20227" y="6884"/>
                <wp:lineTo x="18903" y="1721"/>
                <wp:lineTo x="17699" y="1721"/>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278380" cy="637540"/>
                    </a:xfrm>
                    <a:prstGeom prst="rect">
                      <a:avLst/>
                    </a:prstGeom>
                  </pic:spPr>
                </pic:pic>
              </a:graphicData>
            </a:graphic>
            <wp14:sizeRelH relativeFrom="page">
              <wp14:pctWidth>0</wp14:pctWidth>
            </wp14:sizeRelH>
            <wp14:sizeRelV relativeFrom="page">
              <wp14:pctHeight>0</wp14:pctHeight>
            </wp14:sizeRelV>
          </wp:anchor>
        </w:drawing>
      </w:r>
      <w:r w:rsidRPr="003A2371">
        <w:rPr>
          <w:rFonts w:cstheme="majorHAnsi"/>
        </w:rPr>
        <w:t>Inter-American Development Bank (IDB)</w:t>
      </w:r>
      <w:r w:rsidR="008D62C5" w:rsidRPr="003A2371">
        <w:rPr>
          <w:rFonts w:eastAsiaTheme="minorEastAsia" w:cstheme="majorHAnsi"/>
          <w:noProof/>
          <w:color w:val="auto"/>
          <w:spacing w:val="0"/>
          <w:kern w:val="0"/>
          <w:sz w:val="22"/>
          <w:szCs w:val="22"/>
        </w:rPr>
        <w:t xml:space="preserve"> </w:t>
      </w:r>
      <w:r w:rsidRPr="003A2371">
        <w:rPr>
          <w:rFonts w:cstheme="majorHAnsi"/>
        </w:rPr>
        <w:br/>
      </w:r>
      <w:r w:rsidR="00C31088">
        <w:rPr>
          <w:rFonts w:cstheme="majorHAnsi"/>
        </w:rPr>
        <w:t>Alliance for Justice and Security</w:t>
      </w:r>
      <w:r w:rsidR="00C31088" w:rsidRPr="003A2371">
        <w:rPr>
          <w:rFonts w:cstheme="majorHAnsi"/>
        </w:rPr>
        <w:t xml:space="preserve"> (</w:t>
      </w:r>
      <w:r w:rsidR="00C31088">
        <w:rPr>
          <w:rFonts w:cstheme="majorHAnsi"/>
        </w:rPr>
        <w:t>AJS</w:t>
      </w:r>
      <w:r w:rsidR="00C31088" w:rsidRPr="003A2371">
        <w:rPr>
          <w:rFonts w:cstheme="majorHAnsi"/>
        </w:rPr>
        <w:t xml:space="preserve">) </w:t>
      </w:r>
      <w:r w:rsidRPr="003A2371">
        <w:rPr>
          <w:rFonts w:cstheme="majorHAnsi"/>
        </w:rPr>
        <w:t xml:space="preserve">Proposal </w:t>
      </w:r>
    </w:p>
    <w:p w14:paraId="68F58981" w14:textId="19DDECFE" w:rsidR="00C31088" w:rsidRPr="00C31088" w:rsidRDefault="00C31088" w:rsidP="00C31088">
      <w:pPr>
        <w:pStyle w:val="NormalWeb"/>
        <w:jc w:val="both"/>
        <w:rPr>
          <w:rFonts w:asciiTheme="majorHAnsi" w:hAnsiTheme="majorHAnsi" w:cstheme="majorHAnsi"/>
        </w:rPr>
      </w:pPr>
      <w:r w:rsidRPr="00C31088">
        <w:rPr>
          <w:rFonts w:asciiTheme="majorHAnsi" w:hAnsiTheme="majorHAnsi" w:cstheme="majorHAnsi"/>
        </w:rPr>
        <w:t>This draft has been developed by GovRisk for review by the Pan American Development Foundation (PADF), with the intention that both organisations will jointly refine and co-develop the proposal for potential submission to the Inter-American Development Bank under the Alliance for Security and Justice.</w:t>
      </w:r>
      <w:r>
        <w:rPr>
          <w:rFonts w:asciiTheme="majorHAnsi" w:hAnsiTheme="majorHAnsi" w:cstheme="majorHAnsi"/>
        </w:rPr>
        <w:t xml:space="preserve"> </w:t>
      </w:r>
      <w:r w:rsidRPr="00C31088">
        <w:rPr>
          <w:rFonts w:asciiTheme="majorHAnsi" w:hAnsiTheme="majorHAnsi" w:cstheme="majorHAnsi"/>
        </w:rPr>
        <w:t>At this stage, the costs and annexes sections have not yet been completed and will be developed following initial feedback.</w:t>
      </w:r>
    </w:p>
    <w:p w14:paraId="0041B7A0" w14:textId="64F4A91D" w:rsidR="00A75E4F" w:rsidRPr="003A2371" w:rsidRDefault="00A75E4F" w:rsidP="00A75E4F">
      <w:pPr>
        <w:pStyle w:val="NormalWeb"/>
        <w:rPr>
          <w:rFonts w:asciiTheme="majorHAnsi" w:hAnsiTheme="majorHAnsi" w:cstheme="majorHAnsi"/>
        </w:rPr>
      </w:pPr>
      <w:r w:rsidRPr="003A2371">
        <w:rPr>
          <w:rStyle w:val="Strong"/>
          <w:rFonts w:asciiTheme="majorHAnsi" w:hAnsiTheme="majorHAnsi" w:cstheme="majorHAnsi"/>
        </w:rPr>
        <w:t>Date:</w:t>
      </w:r>
      <w:r w:rsidRPr="003A2371">
        <w:rPr>
          <w:rFonts w:asciiTheme="majorHAnsi" w:hAnsiTheme="majorHAnsi" w:cstheme="majorHAnsi"/>
        </w:rPr>
        <w:t xml:space="preserve"> </w:t>
      </w:r>
      <w:r w:rsidR="00C31088">
        <w:rPr>
          <w:rFonts w:asciiTheme="majorHAnsi" w:hAnsiTheme="majorHAnsi" w:cstheme="majorHAnsi"/>
        </w:rPr>
        <w:t>31</w:t>
      </w:r>
      <w:r w:rsidRPr="003A2371">
        <w:rPr>
          <w:rFonts w:asciiTheme="majorHAnsi" w:hAnsiTheme="majorHAnsi" w:cstheme="majorHAnsi"/>
        </w:rPr>
        <w:t xml:space="preserve"> March 2026</w:t>
      </w:r>
      <w:r w:rsidRPr="003A2371">
        <w:rPr>
          <w:rFonts w:asciiTheme="majorHAnsi" w:hAnsiTheme="majorHAnsi" w:cstheme="majorHAnsi"/>
        </w:rPr>
        <w:br/>
      </w:r>
      <w:r w:rsidRPr="003A2371">
        <w:rPr>
          <w:rStyle w:val="Strong"/>
          <w:rFonts w:asciiTheme="majorHAnsi" w:hAnsiTheme="majorHAnsi" w:cstheme="majorHAnsi"/>
        </w:rPr>
        <w:t>Project Title:</w:t>
      </w:r>
      <w:r w:rsidRPr="003A2371">
        <w:rPr>
          <w:rFonts w:asciiTheme="majorHAnsi" w:hAnsiTheme="majorHAnsi" w:cstheme="majorHAnsi"/>
        </w:rPr>
        <w:t xml:space="preserve"> </w:t>
      </w:r>
      <w:r w:rsidR="00C31088" w:rsidRPr="00C31088">
        <w:rPr>
          <w:rFonts w:asciiTheme="majorHAnsi" w:hAnsiTheme="majorHAnsi" w:cstheme="majorHAnsi"/>
          <w:b/>
          <w:bCs/>
          <w:lang w:val="en-US"/>
        </w:rPr>
        <w:t>Scaling State-Level Risk Analysis of Illicit Asset and Financial Flows in Mexico</w:t>
      </w:r>
      <w:r w:rsidR="00C31088" w:rsidRPr="00C31088">
        <w:rPr>
          <w:rFonts w:asciiTheme="majorHAnsi" w:hAnsiTheme="majorHAnsi" w:cstheme="majorHAnsi"/>
          <w:b/>
          <w:bCs/>
          <w:lang w:val="en-US"/>
        </w:rPr>
        <w:t xml:space="preserve"> </w:t>
      </w:r>
      <w:r w:rsidRPr="003A2371">
        <w:rPr>
          <w:rStyle w:val="Strong"/>
          <w:rFonts w:asciiTheme="majorHAnsi" w:hAnsiTheme="majorHAnsi" w:cstheme="majorHAnsi"/>
        </w:rPr>
        <w:t>Countries:</w:t>
      </w:r>
      <w:r w:rsidRPr="003A2371">
        <w:rPr>
          <w:rFonts w:asciiTheme="majorHAnsi" w:hAnsiTheme="majorHAnsi" w:cstheme="majorHAnsi"/>
        </w:rPr>
        <w:t xml:space="preserve"> </w:t>
      </w:r>
      <w:r w:rsidR="00C31088">
        <w:rPr>
          <w:rFonts w:asciiTheme="majorHAnsi" w:hAnsiTheme="majorHAnsi" w:cstheme="majorHAnsi"/>
        </w:rPr>
        <w:t>Mexico</w:t>
      </w:r>
    </w:p>
    <w:p w14:paraId="0DE22F6F" w14:textId="1EA48460" w:rsidR="00A75E4F" w:rsidRDefault="00C31088" w:rsidP="00A75E4F">
      <w:pPr>
        <w:pStyle w:val="NormalWeb"/>
      </w:pPr>
      <w:r>
        <w:rPr>
          <w:rStyle w:val="Strong"/>
          <w:rFonts w:asciiTheme="majorHAnsi" w:hAnsiTheme="majorHAnsi" w:cstheme="majorHAnsi"/>
        </w:rPr>
        <w:t>Contact</w:t>
      </w:r>
      <w:r w:rsidR="00A75E4F" w:rsidRPr="003A2371">
        <w:rPr>
          <w:rStyle w:val="Strong"/>
          <w:rFonts w:asciiTheme="majorHAnsi" w:hAnsiTheme="majorHAnsi" w:cstheme="majorHAnsi"/>
        </w:rPr>
        <w:t>:</w:t>
      </w:r>
      <w:r w:rsidR="00A75E4F" w:rsidRPr="003A2371">
        <w:rPr>
          <w:rFonts w:asciiTheme="majorHAnsi" w:hAnsiTheme="majorHAnsi" w:cstheme="majorHAnsi"/>
        </w:rPr>
        <w:t xml:space="preserve"> Mark Willcock, Programme Development Manager, Secretariat</w:t>
      </w:r>
      <w:r>
        <w:rPr>
          <w:rFonts w:asciiTheme="majorHAnsi" w:hAnsiTheme="majorHAnsi" w:cstheme="majorHAnsi"/>
        </w:rPr>
        <w:t xml:space="preserve">. </w:t>
      </w:r>
      <w:r w:rsidRPr="00C31088">
        <w:rPr>
          <w:rFonts w:asciiTheme="majorHAnsi" w:hAnsiTheme="majorHAnsi" w:cstheme="majorHAnsi"/>
          <w:lang w:val="en-US"/>
        </w:rPr>
        <w:t>The International Governance and Risk Institute (GovRisk)</w:t>
      </w:r>
      <w:r w:rsidR="00A75E4F" w:rsidRPr="003A2371">
        <w:rPr>
          <w:rFonts w:asciiTheme="majorHAnsi" w:hAnsiTheme="majorHAnsi" w:cstheme="majorHAnsi"/>
        </w:rPr>
        <w:br/>
      </w:r>
      <w:r w:rsidR="00A75E4F" w:rsidRPr="003A2371">
        <w:rPr>
          <w:rStyle w:val="Strong"/>
          <w:rFonts w:asciiTheme="majorHAnsi" w:hAnsiTheme="majorHAnsi" w:cstheme="majorHAnsi"/>
        </w:rPr>
        <w:t>Email:</w:t>
      </w:r>
      <w:r w:rsidR="00A75E4F" w:rsidRPr="003A2371">
        <w:rPr>
          <w:rFonts w:asciiTheme="majorHAnsi" w:hAnsiTheme="majorHAnsi" w:cstheme="majorHAnsi"/>
        </w:rPr>
        <w:t xml:space="preserve"> mark.willcock@govrisk.org | </w:t>
      </w:r>
      <w:r w:rsidR="00A75E4F" w:rsidRPr="003A2371">
        <w:rPr>
          <w:rStyle w:val="Strong"/>
          <w:rFonts w:asciiTheme="majorHAnsi" w:hAnsiTheme="majorHAnsi" w:cstheme="majorHAnsi"/>
        </w:rPr>
        <w:t>Website:</w:t>
      </w:r>
      <w:r w:rsidR="00A75E4F" w:rsidRPr="003A2371">
        <w:rPr>
          <w:rFonts w:asciiTheme="majorHAnsi" w:hAnsiTheme="majorHAnsi" w:cstheme="majorHAnsi"/>
        </w:rPr>
        <w:t xml:space="preserve"> </w:t>
      </w:r>
      <w:hyperlink r:id="rId9" w:tgtFrame="_new" w:history="1">
        <w:r w:rsidR="00A75E4F" w:rsidRPr="003A2371">
          <w:rPr>
            <w:rStyle w:val="Hyperlink"/>
            <w:rFonts w:asciiTheme="majorHAnsi" w:hAnsiTheme="majorHAnsi" w:cstheme="majorHAnsi"/>
          </w:rPr>
          <w:t>www.govrisk.org</w:t>
        </w:r>
      </w:hyperlink>
    </w:p>
    <w:p w14:paraId="09DEDEC5" w14:textId="77777777" w:rsidR="00C31088" w:rsidRPr="003A2371" w:rsidRDefault="00C31088" w:rsidP="00C31088">
      <w:pPr>
        <w:pStyle w:val="NormalWeb"/>
        <w:jc w:val="center"/>
        <w:rPr>
          <w:rFonts w:asciiTheme="majorHAnsi" w:hAnsiTheme="majorHAnsi" w:cstheme="majorHAnsi"/>
        </w:rPr>
      </w:pPr>
    </w:p>
    <w:p w14:paraId="63C081D4" w14:textId="77777777" w:rsidR="00C31088" w:rsidRPr="007F702D" w:rsidRDefault="00C31088" w:rsidP="00C31088">
      <w:pPr>
        <w:spacing w:before="100" w:beforeAutospacing="1" w:after="100" w:afterAutospacing="1" w:line="240" w:lineRule="auto"/>
        <w:jc w:val="center"/>
        <w:rPr>
          <w:rFonts w:asciiTheme="majorHAnsi" w:eastAsiaTheme="majorEastAsia" w:hAnsiTheme="majorHAnsi" w:cstheme="majorHAnsi"/>
          <w:b/>
          <w:bCs/>
          <w:color w:val="365F91" w:themeColor="accent1" w:themeShade="BF"/>
          <w:sz w:val="28"/>
          <w:szCs w:val="28"/>
        </w:rPr>
      </w:pPr>
      <w:r w:rsidRPr="007F702D">
        <w:rPr>
          <w:rFonts w:asciiTheme="majorHAnsi" w:eastAsiaTheme="majorEastAsia" w:hAnsiTheme="majorHAnsi" w:cstheme="majorHAnsi"/>
          <w:b/>
          <w:bCs/>
          <w:color w:val="365F91" w:themeColor="accent1" w:themeShade="BF"/>
          <w:sz w:val="28"/>
          <w:szCs w:val="28"/>
        </w:rPr>
        <w:t>Scaling State-Level Risk Analysis of Illicit Asset and Financial Flows in Mexico</w:t>
      </w:r>
      <w:r w:rsidRPr="007F702D">
        <w:rPr>
          <w:rFonts w:asciiTheme="majorHAnsi" w:eastAsiaTheme="majorEastAsia" w:hAnsiTheme="majorHAnsi" w:cstheme="majorHAnsi"/>
          <w:b/>
          <w:bCs/>
          <w:color w:val="365F91" w:themeColor="accent1" w:themeShade="BF"/>
          <w:sz w:val="28"/>
          <w:szCs w:val="28"/>
        </w:rPr>
        <w:br/>
        <w:t>A Harmonised Framework to Strengthen Patrimonial and Economic Intelligence and Institutional Coordination</w:t>
      </w:r>
    </w:p>
    <w:p w14:paraId="6B419A6C" w14:textId="77777777" w:rsidR="00C31088" w:rsidRPr="007F702D" w:rsidRDefault="00C31088" w:rsidP="007F702D">
      <w:pPr>
        <w:spacing w:before="100" w:beforeAutospacing="1" w:after="100" w:afterAutospacing="1" w:line="240" w:lineRule="auto"/>
        <w:rPr>
          <w:rFonts w:asciiTheme="majorHAnsi" w:eastAsiaTheme="majorEastAsia" w:hAnsiTheme="majorHAnsi" w:cstheme="majorHAnsi"/>
          <w:b/>
          <w:bCs/>
          <w:color w:val="365F91" w:themeColor="accent1" w:themeShade="BF"/>
          <w:sz w:val="28"/>
          <w:szCs w:val="28"/>
        </w:rPr>
      </w:pPr>
      <w:r w:rsidRPr="007F702D">
        <w:rPr>
          <w:rFonts w:asciiTheme="majorHAnsi" w:eastAsiaTheme="majorEastAsia" w:hAnsiTheme="majorHAnsi" w:cstheme="majorHAnsi"/>
          <w:b/>
          <w:bCs/>
          <w:color w:val="365F91" w:themeColor="accent1" w:themeShade="BF"/>
          <w:sz w:val="28"/>
          <w:szCs w:val="28"/>
        </w:rPr>
        <w:t>Executive Summary</w:t>
      </w:r>
    </w:p>
    <w:p w14:paraId="4ECE1D77"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This proposal seeks to scale a validated methodology for state-level risk analysis of illicit asset and financial flows (Operaciones con Recursos de Procedencia Ilícita – ORPI) across Mexico, strengthening the capacity of Unidades de Inteligencia Patrimonial y Económica (UIPEs) to generate patrimonial and economic intelligence, support prevention and mitigation, and enhance interinstitutional coordination.</w:t>
      </w:r>
    </w:p>
    <w:p w14:paraId="544D3E36"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approach builds directly on the State Program for Clean Economic Compliance (PECEL), a programme funded by the U.S. Department of State’s Bureau of International Narcotics and Law Enforcement Affairs (INL) and implemented between 2023 and May 2026 by the Pan American Development Foundation (PADF) in partnership with GovRisk and other technical partners.</w:t>
      </w:r>
    </w:p>
    <w:p w14:paraId="3258919B"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Under PECEL, diagnostics, institutional strengthening processes, and analytical methodologies were developed and applied across multiple states. The methodology has already been piloted in Quintana Roo and Yucatán (Q1–Q2 2026) and validated by beneficiary institutions, which have demonstrated strong interest in its continuation.</w:t>
      </w:r>
    </w:p>
    <w:p w14:paraId="0AD6C80B"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lastRenderedPageBreak/>
        <w:t>The project will scale this approach across twelve states and generate regional and national analytical outputs, enabling comparability, interoperability, and coordination. It represents a practical next step, consolidating prior investments and responding directly to demonstrated institutional demand. The project will enable a transition from fragmented, reactive state-level analysis to a structured and comparable system capable of informing coordinated national responses to illicit financial flows, improving prioritisation, resource allocation, and the disruption of macrocriminal networks.</w:t>
      </w:r>
    </w:p>
    <w:p w14:paraId="6CC51493" w14:textId="77777777" w:rsidR="00C31088" w:rsidRPr="00C31088" w:rsidRDefault="002E35FE" w:rsidP="00C31088">
      <w:pPr>
        <w:spacing w:after="0" w:line="240" w:lineRule="auto"/>
        <w:rPr>
          <w:rFonts w:ascii="Times New Roman" w:eastAsia="Times New Roman" w:hAnsi="Times New Roman" w:cs="Times New Roman"/>
          <w:sz w:val="24"/>
          <w:szCs w:val="24"/>
          <w:lang w:val="en-BR"/>
        </w:rPr>
      </w:pPr>
      <w:r w:rsidRPr="002E35FE">
        <w:rPr>
          <w:rFonts w:ascii="Times New Roman" w:eastAsia="Times New Roman" w:hAnsi="Times New Roman" w:cs="Times New Roman"/>
          <w:noProof/>
          <w:sz w:val="24"/>
          <w:szCs w:val="24"/>
          <w:lang w:val="en-BR"/>
        </w:rPr>
        <w:pict w14:anchorId="0E1D5A68">
          <v:rect id="_x0000_i1033" alt="" style="width:468pt;height:.05pt;mso-width-percent:0;mso-height-percent:0;mso-width-percent:0;mso-height-percent:0" o:hralign="center" o:hrstd="t" o:hr="t" fillcolor="#a0a0a0" stroked="f"/>
        </w:pict>
      </w:r>
    </w:p>
    <w:p w14:paraId="5FB34FA6" w14:textId="77777777" w:rsidR="00C31088" w:rsidRPr="007F702D" w:rsidRDefault="00C31088" w:rsidP="00C31088">
      <w:pPr>
        <w:spacing w:before="100" w:beforeAutospacing="1" w:after="100" w:afterAutospacing="1" w:line="240" w:lineRule="auto"/>
        <w:rPr>
          <w:rFonts w:asciiTheme="majorHAnsi" w:eastAsiaTheme="majorEastAsia" w:hAnsiTheme="majorHAnsi" w:cstheme="majorHAnsi"/>
          <w:b/>
          <w:bCs/>
          <w:color w:val="365F91" w:themeColor="accent1" w:themeShade="BF"/>
          <w:sz w:val="28"/>
          <w:szCs w:val="28"/>
        </w:rPr>
      </w:pPr>
      <w:r w:rsidRPr="007F702D">
        <w:rPr>
          <w:rFonts w:asciiTheme="majorHAnsi" w:eastAsiaTheme="majorEastAsia" w:hAnsiTheme="majorHAnsi" w:cstheme="majorHAnsi"/>
          <w:b/>
          <w:bCs/>
          <w:color w:val="365F91" w:themeColor="accent1" w:themeShade="BF"/>
          <w:sz w:val="28"/>
          <w:szCs w:val="28"/>
        </w:rPr>
        <w:t>Context and Definition of UIPEs</w:t>
      </w:r>
    </w:p>
    <w:p w14:paraId="7D038412"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Unidades de Inteligencia Patrimonial y Económica (UIPEs) are state-level entities in Mexico responsible for analysing patrimonial, fiscal, and economic information to support the prevention, detection, and analysis of illicit asset and financial flows (Operaciones con Recursos de Procedencia Ilícita – ORPI).</w:t>
      </w:r>
    </w:p>
    <w:p w14:paraId="0AEE8E8B"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UIPEs were conceived to strengthen state-level capacities to collect, analyse, and channel patrimonial and economic information that can support prevention, institutional coordination, and the development of cases related to ORPI and associated forms of macrocriminality. Their role is not uniform across the country. Rather, they operate under different institutional models, including administrative, investigative, and hybrid structures, depending on the state.</w:t>
      </w:r>
    </w:p>
    <w:p w14:paraId="7CDF2277"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As a result, UIPEs vary significantly in terms of:</w:t>
      </w:r>
    </w:p>
    <w:p w14:paraId="173A235F" w14:textId="77777777" w:rsidR="00C31088" w:rsidRPr="00C31088" w:rsidRDefault="00C31088" w:rsidP="00C31088">
      <w:pPr>
        <w:numPr>
          <w:ilvl w:val="0"/>
          <w:numId w:val="32"/>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legal mandates and autonomy </w:t>
      </w:r>
    </w:p>
    <w:p w14:paraId="2C6BBBD2" w14:textId="77777777" w:rsidR="00C31088" w:rsidRPr="00C31088" w:rsidRDefault="00C31088" w:rsidP="00C31088">
      <w:pPr>
        <w:numPr>
          <w:ilvl w:val="0"/>
          <w:numId w:val="32"/>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access to information </w:t>
      </w:r>
    </w:p>
    <w:p w14:paraId="3C1125A1" w14:textId="77777777" w:rsidR="00C31088" w:rsidRPr="00C31088" w:rsidRDefault="00C31088" w:rsidP="00C31088">
      <w:pPr>
        <w:numPr>
          <w:ilvl w:val="0"/>
          <w:numId w:val="32"/>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technical and analytical capacity </w:t>
      </w:r>
    </w:p>
    <w:p w14:paraId="78DD701F" w14:textId="77777777" w:rsidR="00C31088" w:rsidRPr="00C31088" w:rsidRDefault="00C31088" w:rsidP="00C31088">
      <w:pPr>
        <w:numPr>
          <w:ilvl w:val="0"/>
          <w:numId w:val="32"/>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integration with prosecutorial, fiscal, and administrative institutions </w:t>
      </w:r>
    </w:p>
    <w:p w14:paraId="62233EE9"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In most cases, UIPEs do not have direct access to protected financial information and instead rely on patrimonial, economic, fiscal, and administrative information, combined with interinstitutional coordination. These differences have direct implications for how risks are identified, analysed, and acted upon at the state level, reinforcing the need for a structured and comparable methodology that can function across different institutional contexts.</w:t>
      </w:r>
    </w:p>
    <w:p w14:paraId="7D314ED3" w14:textId="77777777" w:rsidR="00C31088" w:rsidRPr="007F702D" w:rsidRDefault="002E35FE" w:rsidP="007F702D">
      <w:pPr>
        <w:spacing w:before="100" w:beforeAutospacing="1" w:after="100" w:afterAutospacing="1" w:line="240" w:lineRule="auto"/>
        <w:rPr>
          <w:rFonts w:asciiTheme="majorHAnsi" w:eastAsiaTheme="majorEastAsia" w:hAnsiTheme="majorHAnsi" w:cstheme="majorHAnsi"/>
          <w:b/>
          <w:bCs/>
          <w:color w:val="365F91" w:themeColor="accent1" w:themeShade="BF"/>
          <w:sz w:val="28"/>
          <w:szCs w:val="28"/>
        </w:rPr>
      </w:pPr>
      <w:r w:rsidRPr="002E35FE">
        <w:rPr>
          <w:rFonts w:asciiTheme="majorHAnsi" w:eastAsiaTheme="majorEastAsia" w:hAnsiTheme="majorHAnsi" w:cstheme="majorHAnsi"/>
          <w:b/>
          <w:noProof/>
          <w:color w:val="365F91" w:themeColor="accent1" w:themeShade="BF"/>
          <w:sz w:val="28"/>
          <w:szCs w:val="28"/>
        </w:rPr>
        <w:pict w14:anchorId="7FB6355B">
          <v:rect id="_x0000_i1032" alt="" style="width:468pt;height:.05pt;mso-width-percent:0;mso-height-percent:0;mso-width-percent:0;mso-height-percent:0" o:hralign="center" o:hrstd="t" o:hr="t" fillcolor="#a0a0a0" stroked="f"/>
        </w:pict>
      </w:r>
    </w:p>
    <w:p w14:paraId="67AA0137" w14:textId="77777777" w:rsidR="00C31088" w:rsidRPr="007F702D" w:rsidRDefault="00C31088" w:rsidP="00C31088">
      <w:pPr>
        <w:spacing w:before="100" w:beforeAutospacing="1" w:after="100" w:afterAutospacing="1" w:line="240" w:lineRule="auto"/>
        <w:rPr>
          <w:rFonts w:asciiTheme="majorHAnsi" w:eastAsiaTheme="majorEastAsia" w:hAnsiTheme="majorHAnsi" w:cstheme="majorHAnsi"/>
          <w:b/>
          <w:bCs/>
          <w:color w:val="365F91" w:themeColor="accent1" w:themeShade="BF"/>
          <w:sz w:val="28"/>
          <w:szCs w:val="28"/>
        </w:rPr>
      </w:pPr>
      <w:r w:rsidRPr="007F702D">
        <w:rPr>
          <w:rFonts w:asciiTheme="majorHAnsi" w:eastAsiaTheme="majorEastAsia" w:hAnsiTheme="majorHAnsi" w:cstheme="majorHAnsi"/>
          <w:b/>
          <w:bCs/>
          <w:color w:val="365F91" w:themeColor="accent1" w:themeShade="BF"/>
          <w:sz w:val="28"/>
          <w:szCs w:val="28"/>
        </w:rPr>
        <w:t>Problem Definition / Strategic Context</w:t>
      </w:r>
    </w:p>
    <w:p w14:paraId="7FFD91E3"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Mexico faces a structural challenge in addressing the economic dimensions of organised crime, which operates through complex and concealed systems embedded within legitimate economic activity. Criminal organisations exploit institutional weaknesses, fragmented information environments, and territorial asymmetries to move, conceal, and integrate illicit resources.</w:t>
      </w:r>
    </w:p>
    <w:p w14:paraId="3DD2BBC8"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Institutional asymmetries</w:t>
      </w:r>
    </w:p>
    <w:p w14:paraId="587ACD55"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lastRenderedPageBreak/>
        <w:t>Diagnostics conducted under PECEL show significant variation across UIPEs in mandates, resources, analytical capacity, and institutional positioning. Many lack formalised methodologies, structured analytical processes, and stable operational models.</w:t>
      </w:r>
    </w:p>
    <w:p w14:paraId="7A24225F"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Reactive approaches and limited intelligence cycle</w:t>
      </w:r>
    </w:p>
    <w:p w14:paraId="57479750"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Analytical work remains largely case-driven. The intelligence cycle is only partially implemented, limiting proactive identification of risks, typologies, and patterns associated with illicit asset and financial flows.</w:t>
      </w:r>
    </w:p>
    <w:p w14:paraId="7084BB31"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Lack of comparability and aggregation</w:t>
      </w:r>
    </w:p>
    <w:p w14:paraId="2F0E2C8E"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Existing analytical efforts are not designed to be comparable or aggregated across states. This constrains cross-state analysis, limits identification of shared typologies and dynamics, and weakens alignment with national frameworks.</w:t>
      </w:r>
    </w:p>
    <w:p w14:paraId="4DD010B0"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Limited interoperability and coordination</w:t>
      </w:r>
    </w:p>
    <w:p w14:paraId="421D0641"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Weak coordination mechanisms between institutions and across jurisdictions further fragment responses and reduce effectiveness.</w:t>
      </w:r>
    </w:p>
    <w:p w14:paraId="6E85CF0A"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As a result, current limitations reduce the ability of authorities to prioritise risks, coordinate responses across jurisdictions, and translate analysis into effective prevention and investigative strategies, weakening the overall effectiveness of Mexico’s response to illicit financial flows.</w:t>
      </w:r>
    </w:p>
    <w:p w14:paraId="1E64B443" w14:textId="77777777" w:rsidR="00C31088" w:rsidRPr="00C31088" w:rsidRDefault="002E35FE" w:rsidP="00C31088">
      <w:pPr>
        <w:spacing w:after="0" w:line="240" w:lineRule="auto"/>
        <w:rPr>
          <w:rFonts w:ascii="Times New Roman" w:eastAsia="Times New Roman" w:hAnsi="Times New Roman" w:cs="Times New Roman"/>
          <w:sz w:val="24"/>
          <w:szCs w:val="24"/>
          <w:lang w:val="en-BR"/>
        </w:rPr>
      </w:pPr>
      <w:r w:rsidRPr="002E35FE">
        <w:rPr>
          <w:rFonts w:ascii="Times New Roman" w:eastAsia="Times New Roman" w:hAnsi="Times New Roman" w:cs="Times New Roman"/>
          <w:noProof/>
          <w:sz w:val="24"/>
          <w:szCs w:val="24"/>
          <w:lang w:val="en-BR"/>
        </w:rPr>
        <w:pict w14:anchorId="739C15D7">
          <v:rect id="_x0000_i1031" alt="" style="width:468pt;height:.05pt;mso-width-percent:0;mso-height-percent:0;mso-width-percent:0;mso-height-percent:0" o:hralign="center" o:hrstd="t" o:hr="t" fillcolor="#a0a0a0" stroked="f"/>
        </w:pict>
      </w:r>
    </w:p>
    <w:p w14:paraId="18642AF6"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Continuity from PECEL (2023–May 2026, U.S. Department of State INL Programme)</w:t>
      </w:r>
    </w:p>
    <w:p w14:paraId="55D0D0D2"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This proposal builds directly on the State Program for Clean Economic Compliance (PECEL), funded by the U.S. Department of State’s Bureau of International Narcotics and Law Enforcement Affairs (INL) and implemented between 2023 and May 2026 by PADF and GovRisk.</w:t>
      </w:r>
    </w:p>
    <w:p w14:paraId="46E7DDA2"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Under PECEL:</w:t>
      </w:r>
    </w:p>
    <w:p w14:paraId="482E656B" w14:textId="77777777" w:rsidR="00C31088" w:rsidRPr="00C31088" w:rsidRDefault="00C31088" w:rsidP="00C31088">
      <w:pPr>
        <w:numPr>
          <w:ilvl w:val="0"/>
          <w:numId w:val="33"/>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state-level diagnostics were conducted across multiple states </w:t>
      </w:r>
    </w:p>
    <w:p w14:paraId="36F5A458" w14:textId="77777777" w:rsidR="00C31088" w:rsidRPr="00C31088" w:rsidRDefault="00C31088" w:rsidP="00C31088">
      <w:pPr>
        <w:numPr>
          <w:ilvl w:val="0"/>
          <w:numId w:val="33"/>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institutional development programmes were implemented in six states </w:t>
      </w:r>
    </w:p>
    <w:p w14:paraId="08AEA215" w14:textId="77777777" w:rsidR="00C31088" w:rsidRPr="00C31088" w:rsidRDefault="00C31088" w:rsidP="00C31088">
      <w:pPr>
        <w:numPr>
          <w:ilvl w:val="0"/>
          <w:numId w:val="33"/>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institutional manuals and practical tools were developed and adopted </w:t>
      </w:r>
    </w:p>
    <w:p w14:paraId="2E8CB880" w14:textId="77777777" w:rsidR="00C31088" w:rsidRPr="00C31088" w:rsidRDefault="00C31088" w:rsidP="00C31088">
      <w:pPr>
        <w:numPr>
          <w:ilvl w:val="0"/>
          <w:numId w:val="33"/>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a public policy proposal for the homologation of UIPEs across Mexico is currently being developed </w:t>
      </w:r>
    </w:p>
    <w:p w14:paraId="678EDB2B"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These activities created the technical and institutional foundation from which this proposal is derived.</w:t>
      </w:r>
    </w:p>
    <w:p w14:paraId="6E7AE433"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methodology proposed here has been:</w:t>
      </w:r>
    </w:p>
    <w:p w14:paraId="7B9161B9" w14:textId="77777777" w:rsidR="00C31088" w:rsidRPr="00C31088" w:rsidRDefault="00C31088" w:rsidP="00C31088">
      <w:pPr>
        <w:numPr>
          <w:ilvl w:val="0"/>
          <w:numId w:val="34"/>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lastRenderedPageBreak/>
        <w:t xml:space="preserve">tested in practice through pilot implementation in Quintana Roo and Yucatán </w:t>
      </w:r>
    </w:p>
    <w:p w14:paraId="135EF750" w14:textId="77777777" w:rsidR="00C31088" w:rsidRPr="00C31088" w:rsidRDefault="00C31088" w:rsidP="00C31088">
      <w:pPr>
        <w:numPr>
          <w:ilvl w:val="0"/>
          <w:numId w:val="34"/>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applied to structure patrimonial, fiscal, and economic information for risk analysis </w:t>
      </w:r>
    </w:p>
    <w:p w14:paraId="3D426A57" w14:textId="77777777" w:rsidR="00C31088" w:rsidRPr="00C31088" w:rsidRDefault="00C31088" w:rsidP="00C31088">
      <w:pPr>
        <w:numPr>
          <w:ilvl w:val="0"/>
          <w:numId w:val="34"/>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validated by beneficiary institutions, which have actively participated and expressed commitment to continuation </w:t>
      </w:r>
    </w:p>
    <w:p w14:paraId="37F660E0"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Several states have already adopted tailored Institutional Development Manuals, and PECEL has supported UIPEs and prosecutorial authorities in developing more permanent and risk-based analytical approaches grounded in patrimonial and economic information.</w:t>
      </w:r>
    </w:p>
    <w:p w14:paraId="01EF3FFB"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Participating UIPEs have demonstrated commitment to institutionalising these processes, while additional states have prioritised receiving this support. With PECEL Phase I concluding in May 2026, there is a clear risk that the progress achieved will not be sustained without continued support. This proposal therefore represents the next logical step: consolidating and scaling these gains at a critical transition point.</w:t>
      </w:r>
    </w:p>
    <w:p w14:paraId="5276220D" w14:textId="77777777" w:rsidR="00C31088" w:rsidRPr="00C31088" w:rsidRDefault="002E35FE" w:rsidP="00C31088">
      <w:pPr>
        <w:spacing w:after="0" w:line="240" w:lineRule="auto"/>
        <w:rPr>
          <w:rFonts w:ascii="Times New Roman" w:eastAsia="Times New Roman" w:hAnsi="Times New Roman" w:cs="Times New Roman"/>
          <w:sz w:val="24"/>
          <w:szCs w:val="24"/>
          <w:lang w:val="en-BR"/>
        </w:rPr>
      </w:pPr>
      <w:r w:rsidRPr="002E35FE">
        <w:rPr>
          <w:rFonts w:ascii="Times New Roman" w:eastAsia="Times New Roman" w:hAnsi="Times New Roman" w:cs="Times New Roman"/>
          <w:noProof/>
          <w:sz w:val="24"/>
          <w:szCs w:val="24"/>
          <w:lang w:val="en-BR"/>
        </w:rPr>
        <w:pict w14:anchorId="1A7E306F">
          <v:rect id="_x0000_i1030" alt="" style="width:468pt;height:.05pt;mso-width-percent:0;mso-height-percent:0;mso-width-percent:0;mso-height-percent:0" o:hralign="center" o:hrstd="t" o:hr="t" fillcolor="#a0a0a0" stroked="f"/>
        </w:pict>
      </w:r>
    </w:p>
    <w:p w14:paraId="19052A77" w14:textId="77777777" w:rsidR="00C31088" w:rsidRPr="007F702D" w:rsidRDefault="00C31088" w:rsidP="00C31088">
      <w:pPr>
        <w:spacing w:before="100" w:beforeAutospacing="1" w:after="100" w:afterAutospacing="1" w:line="240" w:lineRule="auto"/>
        <w:rPr>
          <w:rFonts w:asciiTheme="majorHAnsi" w:eastAsiaTheme="majorEastAsia" w:hAnsiTheme="majorHAnsi" w:cstheme="majorHAnsi"/>
          <w:b/>
          <w:bCs/>
          <w:color w:val="365F91" w:themeColor="accent1" w:themeShade="BF"/>
          <w:sz w:val="28"/>
          <w:szCs w:val="28"/>
        </w:rPr>
      </w:pPr>
      <w:r w:rsidRPr="007F702D">
        <w:rPr>
          <w:rFonts w:asciiTheme="majorHAnsi" w:eastAsiaTheme="majorEastAsia" w:hAnsiTheme="majorHAnsi" w:cstheme="majorHAnsi"/>
          <w:b/>
          <w:bCs/>
          <w:color w:val="365F91" w:themeColor="accent1" w:themeShade="BF"/>
          <w:sz w:val="28"/>
          <w:szCs w:val="28"/>
        </w:rPr>
        <w:t>Proposed Intervention</w:t>
      </w:r>
    </w:p>
    <w:p w14:paraId="763AC442"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intervention addresses the identified gaps by introducing a structured, comparable, and scalable approach to state-level risk analysis, enabling both alignment across states and integration with national frameworks.</w:t>
      </w:r>
    </w:p>
    <w:p w14:paraId="47881E8C"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Analytical framework</w:t>
      </w:r>
    </w:p>
    <w:p w14:paraId="4C08C364"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Risk is assessed through three dimensions:</w:t>
      </w:r>
    </w:p>
    <w:p w14:paraId="073CA7B4" w14:textId="77777777" w:rsidR="00C31088" w:rsidRPr="00C31088" w:rsidRDefault="00C31088" w:rsidP="00C31088">
      <w:pPr>
        <w:numPr>
          <w:ilvl w:val="0"/>
          <w:numId w:val="35"/>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threats </w:t>
      </w:r>
    </w:p>
    <w:p w14:paraId="3CFA45BC" w14:textId="77777777" w:rsidR="00C31088" w:rsidRPr="00C31088" w:rsidRDefault="00C31088" w:rsidP="00C31088">
      <w:pPr>
        <w:numPr>
          <w:ilvl w:val="0"/>
          <w:numId w:val="35"/>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vulnerabilities </w:t>
      </w:r>
    </w:p>
    <w:p w14:paraId="6852109D" w14:textId="77777777" w:rsidR="00C31088" w:rsidRPr="00C31088" w:rsidRDefault="00C31088" w:rsidP="00C31088">
      <w:pPr>
        <w:numPr>
          <w:ilvl w:val="0"/>
          <w:numId w:val="35"/>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consequences </w:t>
      </w:r>
    </w:p>
    <w:p w14:paraId="2F5456A4"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These dimensions are analysed together to enable prioritisation of risks and mitigation measures.</w:t>
      </w:r>
    </w:p>
    <w:p w14:paraId="518C91DE"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Analytical approach</w:t>
      </w:r>
    </w:p>
    <w:p w14:paraId="18C4C5A5"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methodology integrates quantitative and qualitative data, uses structured indicators and proxies to address data limitations, and incorporates expert judgement. It is designed to function in heterogeneous and data-constrained environments, producing outputs that are comparable, transparent, and updateable.</w:t>
      </w:r>
    </w:p>
    <w:p w14:paraId="4FDF162B"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State-level implementation</w:t>
      </w:r>
    </w:p>
    <w:p w14:paraId="3C62578C"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methodology will be applied across twelve states:</w:t>
      </w:r>
    </w:p>
    <w:p w14:paraId="23C56D3A"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lastRenderedPageBreak/>
        <w:t>Baja California Sur, Baja California Norte, Sinaloa, Nayarit</w:t>
      </w:r>
      <w:r w:rsidRPr="00C31088">
        <w:rPr>
          <w:rFonts w:ascii="Times New Roman" w:eastAsia="Times New Roman" w:hAnsi="Times New Roman" w:cs="Times New Roman"/>
          <w:sz w:val="24"/>
          <w:szCs w:val="24"/>
          <w:lang w:val="en-BR"/>
        </w:rPr>
        <w:br/>
        <w:t>Yucatán, Quintana Roo, Tabasco, Campeche</w:t>
      </w:r>
      <w:r w:rsidRPr="00C31088">
        <w:rPr>
          <w:rFonts w:ascii="Times New Roman" w:eastAsia="Times New Roman" w:hAnsi="Times New Roman" w:cs="Times New Roman"/>
          <w:sz w:val="24"/>
          <w:szCs w:val="24"/>
          <w:lang w:val="en-BR"/>
        </w:rPr>
        <w:br/>
        <w:t>Guanajuato, Querétaro, Zacatecas, Aguascalientes</w:t>
      </w:r>
    </w:p>
    <w:p w14:paraId="67FC1BF7"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Implementation will follow a multi-agency approach involving UIPEs, prosecutorial authorities, fiscal institutions, and other relevant actors.</w:t>
      </w:r>
    </w:p>
    <w:p w14:paraId="4DC9C106"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Regional analytical layer</w:t>
      </w:r>
    </w:p>
    <w:p w14:paraId="4FFEEB67"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Three regional analyses will consolidate findings, enabling identification of shared typologies, cross-state dynamics, and institutional asymmetries.</w:t>
      </w:r>
    </w:p>
    <w:p w14:paraId="0199C1A9"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National alignment</w:t>
      </w:r>
    </w:p>
    <w:p w14:paraId="02A731D0"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Findings will be aligned with Mexico’s National Risk Assessment (Evaluación Nacional de Riesgos – ENR 2023), supporting coordination and policy development.</w:t>
      </w:r>
    </w:p>
    <w:p w14:paraId="632E9BA1"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intervention logic is to transform fragmented and non-comparable analytical practices into a structured and interoperable system, enabling improved risk identification, coordination, and policy response.</w:t>
      </w:r>
    </w:p>
    <w:p w14:paraId="0E155521" w14:textId="77777777" w:rsidR="00C31088" w:rsidRPr="00C31088" w:rsidRDefault="002E35FE" w:rsidP="00C31088">
      <w:pPr>
        <w:spacing w:after="0" w:line="240" w:lineRule="auto"/>
        <w:rPr>
          <w:rFonts w:ascii="Times New Roman" w:eastAsia="Times New Roman" w:hAnsi="Times New Roman" w:cs="Times New Roman"/>
          <w:sz w:val="24"/>
          <w:szCs w:val="24"/>
          <w:lang w:val="en-BR"/>
        </w:rPr>
      </w:pPr>
      <w:r w:rsidRPr="002E35FE">
        <w:rPr>
          <w:rFonts w:ascii="Times New Roman" w:eastAsia="Times New Roman" w:hAnsi="Times New Roman" w:cs="Times New Roman"/>
          <w:noProof/>
          <w:sz w:val="24"/>
          <w:szCs w:val="24"/>
          <w:lang w:val="en-BR"/>
        </w:rPr>
        <w:pict w14:anchorId="339C4114">
          <v:rect id="_x0000_i1029" alt="" style="width:468pt;height:.05pt;mso-width-percent:0;mso-height-percent:0;mso-width-percent:0;mso-height-percent:0" o:hralign="center" o:hrstd="t" o:hr="t" fillcolor="#a0a0a0" stroked="f"/>
        </w:pict>
      </w:r>
    </w:p>
    <w:p w14:paraId="636F91DA" w14:textId="77777777" w:rsidR="00C31088" w:rsidRPr="007F702D" w:rsidRDefault="00C31088" w:rsidP="00C31088">
      <w:pPr>
        <w:spacing w:before="100" w:beforeAutospacing="1" w:after="100" w:afterAutospacing="1" w:line="240" w:lineRule="auto"/>
        <w:rPr>
          <w:rFonts w:asciiTheme="majorHAnsi" w:eastAsiaTheme="majorEastAsia" w:hAnsiTheme="majorHAnsi" w:cstheme="majorHAnsi"/>
          <w:b/>
          <w:bCs/>
          <w:color w:val="365F91" w:themeColor="accent1" w:themeShade="BF"/>
          <w:sz w:val="28"/>
          <w:szCs w:val="28"/>
        </w:rPr>
      </w:pPr>
      <w:r w:rsidRPr="007F702D">
        <w:rPr>
          <w:rFonts w:asciiTheme="majorHAnsi" w:eastAsiaTheme="majorEastAsia" w:hAnsiTheme="majorHAnsi" w:cstheme="majorHAnsi"/>
          <w:b/>
          <w:bCs/>
          <w:color w:val="365F91" w:themeColor="accent1" w:themeShade="BF"/>
          <w:sz w:val="28"/>
          <w:szCs w:val="28"/>
        </w:rPr>
        <w:t>Expected Outputs and Outcomes</w:t>
      </w:r>
    </w:p>
    <w:p w14:paraId="4A3B413F"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Outputs</w:t>
      </w:r>
    </w:p>
    <w:p w14:paraId="5E42DAB0" w14:textId="77777777" w:rsidR="00C31088" w:rsidRPr="00C31088" w:rsidRDefault="00C31088" w:rsidP="00C31088">
      <w:pPr>
        <w:numPr>
          <w:ilvl w:val="0"/>
          <w:numId w:val="36"/>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12 state-level risk assessments </w:t>
      </w:r>
    </w:p>
    <w:p w14:paraId="45CC72BF" w14:textId="77777777" w:rsidR="00C31088" w:rsidRPr="00C31088" w:rsidRDefault="00C31088" w:rsidP="00C31088">
      <w:pPr>
        <w:numPr>
          <w:ilvl w:val="0"/>
          <w:numId w:val="36"/>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3 regional analytical products </w:t>
      </w:r>
    </w:p>
    <w:p w14:paraId="4F5AD6F0" w14:textId="77777777" w:rsidR="00C31088" w:rsidRPr="00C31088" w:rsidRDefault="00C31088" w:rsidP="00C31088">
      <w:pPr>
        <w:numPr>
          <w:ilvl w:val="0"/>
          <w:numId w:val="36"/>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1 national alignment output </w:t>
      </w:r>
    </w:p>
    <w:p w14:paraId="6AF48EF3"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These outputs will include risk matrices, typologies, prioritised findings, and practical recommendations.</w:t>
      </w:r>
    </w:p>
    <w:p w14:paraId="431CF158"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Outcomes</w:t>
      </w:r>
    </w:p>
    <w:p w14:paraId="48639A8E" w14:textId="77777777" w:rsidR="00C31088" w:rsidRPr="00C31088" w:rsidRDefault="00C31088" w:rsidP="00C31088">
      <w:pPr>
        <w:numPr>
          <w:ilvl w:val="0"/>
          <w:numId w:val="37"/>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reduced institutional asymmetries across UIPEs </w:t>
      </w:r>
    </w:p>
    <w:p w14:paraId="302D0E68" w14:textId="77777777" w:rsidR="00C31088" w:rsidRPr="00C31088" w:rsidRDefault="00C31088" w:rsidP="00C31088">
      <w:pPr>
        <w:numPr>
          <w:ilvl w:val="0"/>
          <w:numId w:val="37"/>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improved comparability enabling aggregation of findings across states </w:t>
      </w:r>
    </w:p>
    <w:p w14:paraId="4B8E76EF" w14:textId="77777777" w:rsidR="00C31088" w:rsidRPr="00C31088" w:rsidRDefault="00C31088" w:rsidP="00C31088">
      <w:pPr>
        <w:numPr>
          <w:ilvl w:val="0"/>
          <w:numId w:val="37"/>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strengthened patrimonial and economic intelligence capabilities </w:t>
      </w:r>
    </w:p>
    <w:p w14:paraId="33758FC8" w14:textId="77777777" w:rsidR="00C31088" w:rsidRPr="00C31088" w:rsidRDefault="00C31088" w:rsidP="00C31088">
      <w:pPr>
        <w:numPr>
          <w:ilvl w:val="0"/>
          <w:numId w:val="37"/>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enhanced interinstitutional coordination </w:t>
      </w:r>
    </w:p>
    <w:p w14:paraId="4019C725" w14:textId="77777777" w:rsidR="00C31088" w:rsidRPr="00C31088" w:rsidRDefault="00C31088" w:rsidP="00C31088">
      <w:pPr>
        <w:numPr>
          <w:ilvl w:val="0"/>
          <w:numId w:val="37"/>
        </w:num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 xml:space="preserve">transition toward proactive, risk-based approaches </w:t>
      </w:r>
    </w:p>
    <w:p w14:paraId="37F9A7F7"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These outcomes will enable more effective prioritisation of risks, improved allocation of resources, and stronger coordination between analytical, investigative, and policy actors.</w:t>
      </w:r>
    </w:p>
    <w:p w14:paraId="7FAD7A2E" w14:textId="77777777" w:rsidR="00C31088" w:rsidRPr="00C31088" w:rsidRDefault="002E35FE" w:rsidP="00C31088">
      <w:pPr>
        <w:spacing w:after="0" w:line="240" w:lineRule="auto"/>
        <w:rPr>
          <w:rFonts w:ascii="Times New Roman" w:eastAsia="Times New Roman" w:hAnsi="Times New Roman" w:cs="Times New Roman"/>
          <w:sz w:val="24"/>
          <w:szCs w:val="24"/>
          <w:lang w:val="en-BR"/>
        </w:rPr>
      </w:pPr>
      <w:r w:rsidRPr="002E35FE">
        <w:rPr>
          <w:rFonts w:ascii="Times New Roman" w:eastAsia="Times New Roman" w:hAnsi="Times New Roman" w:cs="Times New Roman"/>
          <w:noProof/>
          <w:sz w:val="24"/>
          <w:szCs w:val="24"/>
          <w:lang w:val="en-BR"/>
        </w:rPr>
        <w:pict w14:anchorId="3A54D168">
          <v:rect id="_x0000_i1028" alt="" style="width:468pt;height:.05pt;mso-width-percent:0;mso-height-percent:0;mso-width-percent:0;mso-height-percent:0" o:hralign="center" o:hrstd="t" o:hr="t" fillcolor="#a0a0a0" stroked="f"/>
        </w:pict>
      </w:r>
    </w:p>
    <w:p w14:paraId="3D35338B" w14:textId="77777777" w:rsidR="00C31088" w:rsidRPr="007F702D" w:rsidRDefault="00C31088" w:rsidP="00C31088">
      <w:pPr>
        <w:spacing w:before="100" w:beforeAutospacing="1" w:after="100" w:afterAutospacing="1" w:line="240" w:lineRule="auto"/>
        <w:rPr>
          <w:rFonts w:asciiTheme="majorHAnsi" w:eastAsiaTheme="majorEastAsia" w:hAnsiTheme="majorHAnsi" w:cstheme="majorHAnsi"/>
          <w:b/>
          <w:bCs/>
          <w:color w:val="365F91" w:themeColor="accent1" w:themeShade="BF"/>
          <w:sz w:val="28"/>
          <w:szCs w:val="28"/>
        </w:rPr>
      </w:pPr>
      <w:r w:rsidRPr="007F702D">
        <w:rPr>
          <w:rFonts w:asciiTheme="majorHAnsi" w:eastAsiaTheme="majorEastAsia" w:hAnsiTheme="majorHAnsi" w:cstheme="majorHAnsi"/>
          <w:b/>
          <w:bCs/>
          <w:color w:val="365F91" w:themeColor="accent1" w:themeShade="BF"/>
          <w:sz w:val="28"/>
          <w:szCs w:val="28"/>
        </w:rPr>
        <w:lastRenderedPageBreak/>
        <w:t>Implementation and Partnerships</w:t>
      </w:r>
    </w:p>
    <w:p w14:paraId="3D072680"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project will be jointly delivered by the Pan American Development Foundation (PADF) and GovRisk.</w:t>
      </w:r>
    </w:p>
    <w:p w14:paraId="565CCF85"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A key institutional counterpart will be the national association of UIPEs, which will facilitate coordination across participating states and support knowledge exchange. UIPEs from all participating states will be the primary beneficiaries.</w:t>
      </w:r>
    </w:p>
    <w:p w14:paraId="4192050C"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Implementation will follow a structured delivery model combining central technical coordination with state-level engagement, ensuring methodological consistency while adapting to local contexts. Validation processes will support quality assurance and stakeholder ownership.</w:t>
      </w:r>
    </w:p>
    <w:p w14:paraId="19D86E22" w14:textId="77777777" w:rsidR="00C31088" w:rsidRPr="00C31088" w:rsidRDefault="002E35FE" w:rsidP="00C31088">
      <w:pPr>
        <w:spacing w:after="0" w:line="240" w:lineRule="auto"/>
        <w:rPr>
          <w:rFonts w:ascii="Times New Roman" w:eastAsia="Times New Roman" w:hAnsi="Times New Roman" w:cs="Times New Roman"/>
          <w:sz w:val="24"/>
          <w:szCs w:val="24"/>
          <w:lang w:val="en-BR"/>
        </w:rPr>
      </w:pPr>
      <w:r w:rsidRPr="002E35FE">
        <w:rPr>
          <w:rFonts w:ascii="Times New Roman" w:eastAsia="Times New Roman" w:hAnsi="Times New Roman" w:cs="Times New Roman"/>
          <w:noProof/>
          <w:sz w:val="24"/>
          <w:szCs w:val="24"/>
          <w:lang w:val="en-BR"/>
        </w:rPr>
        <w:pict w14:anchorId="6D4AF7A8">
          <v:rect id="_x0000_i1027" alt="" style="width:468pt;height:.05pt;mso-width-percent:0;mso-height-percent:0;mso-width-percent:0;mso-height-percent:0" o:hralign="center" o:hrstd="t" o:hr="t" fillcolor="#a0a0a0" stroked="f"/>
        </w:pict>
      </w:r>
    </w:p>
    <w:p w14:paraId="1F05E0DA"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GovRisk and PADF Experience</w:t>
      </w:r>
    </w:p>
    <w:p w14:paraId="3F8FBE26"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PADF and GovRisk bring a strong track record of delivering technical assistance programmes in Mexico and across Latin America, including PECEL.</w:t>
      </w:r>
    </w:p>
    <w:p w14:paraId="087E7F11"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GovRisk specialises in AML/CFT, financial crime, and institutional strengthening, and has delivered over 115 projects globally. Its work includes adapting national-level risk assessment methodologies to subnational contexts in Mexico, demonstrating its ability to operate in decentralised environments.</w:t>
      </w:r>
    </w:p>
    <w:p w14:paraId="77DD58AF"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technical team includes María Novoa and María Dolores, both of whom have played central roles in diagnostics, methodology development, and risk analysis processes under PECEL and at national level.</w:t>
      </w:r>
    </w:p>
    <w:p w14:paraId="01A0238B"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Continuity of this team ensures technical consistency, preservation of institutional knowledge, and reduced implementation risk.</w:t>
      </w:r>
    </w:p>
    <w:p w14:paraId="7780499C" w14:textId="77777777" w:rsidR="00C31088" w:rsidRPr="00C31088" w:rsidRDefault="002E35FE" w:rsidP="00C31088">
      <w:pPr>
        <w:spacing w:after="0" w:line="240" w:lineRule="auto"/>
        <w:rPr>
          <w:rFonts w:ascii="Times New Roman" w:eastAsia="Times New Roman" w:hAnsi="Times New Roman" w:cs="Times New Roman"/>
          <w:sz w:val="24"/>
          <w:szCs w:val="24"/>
          <w:lang w:val="en-BR"/>
        </w:rPr>
      </w:pPr>
      <w:r w:rsidRPr="002E35FE">
        <w:rPr>
          <w:rFonts w:ascii="Times New Roman" w:eastAsia="Times New Roman" w:hAnsi="Times New Roman" w:cs="Times New Roman"/>
          <w:noProof/>
          <w:sz w:val="24"/>
          <w:szCs w:val="24"/>
          <w:lang w:val="en-BR"/>
        </w:rPr>
        <w:pict w14:anchorId="0DCFEF32">
          <v:rect id="_x0000_i1026" alt="" style="width:468pt;height:.05pt;mso-width-percent:0;mso-height-percent:0;mso-width-percent:0;mso-height-percent:0" o:hralign="center" o:hrstd="t" o:hr="t" fillcolor="#a0a0a0" stroked="f"/>
        </w:pict>
      </w:r>
    </w:p>
    <w:p w14:paraId="0F94D5C5"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Alignment with the IDB Alliance for Security and Justice</w:t>
      </w:r>
    </w:p>
    <w:p w14:paraId="5BD99B64"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This proposal directly supports the objectives of the IDB Alliance for Security and Justice by strengthening institutional capacity to address organised crime through improved analytical capabilities at the state level.</w:t>
      </w:r>
    </w:p>
    <w:p w14:paraId="462B2757"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It enhances coordination between justice and security actors by promoting structured multi-agency approaches and improving interoperability across jurisdictions.</w:t>
      </w:r>
    </w:p>
    <w:p w14:paraId="0091108C"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By enabling systematic identification and prioritisation of risks, the project strengthens evidence-based decision-making and supports more targeted public policy responses.</w:t>
      </w:r>
    </w:p>
    <w:p w14:paraId="58347977"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lastRenderedPageBreak/>
        <w:t>It also contributes to addressing complex criminal ecosystems by improving understanding of the economic dimensions of macrocriminality, aligning with the Alliance’s focus on integrated and data-driven approaches.</w:t>
      </w:r>
    </w:p>
    <w:p w14:paraId="7024A352" w14:textId="77777777" w:rsidR="00C31088" w:rsidRPr="00C31088" w:rsidRDefault="002E35FE" w:rsidP="00C31088">
      <w:pPr>
        <w:spacing w:after="0" w:line="240" w:lineRule="auto"/>
        <w:rPr>
          <w:rFonts w:ascii="Times New Roman" w:eastAsia="Times New Roman" w:hAnsi="Times New Roman" w:cs="Times New Roman"/>
          <w:sz w:val="24"/>
          <w:szCs w:val="24"/>
          <w:lang w:val="en-BR"/>
        </w:rPr>
      </w:pPr>
      <w:r w:rsidRPr="002E35FE">
        <w:rPr>
          <w:rFonts w:ascii="Times New Roman" w:eastAsia="Times New Roman" w:hAnsi="Times New Roman" w:cs="Times New Roman"/>
          <w:noProof/>
          <w:sz w:val="24"/>
          <w:szCs w:val="24"/>
          <w:lang w:val="en-BR"/>
        </w:rPr>
        <w:pict w14:anchorId="6609D74D">
          <v:rect id="_x0000_i1025" alt="" style="width:468pt;height:.05pt;mso-width-percent:0;mso-height-percent:0;mso-width-percent:0;mso-height-percent:0" o:hralign="center" o:hrstd="t" o:hr="t" fillcolor="#a0a0a0" stroked="f"/>
        </w:pict>
      </w:r>
    </w:p>
    <w:p w14:paraId="489A64F8"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b/>
          <w:bCs/>
          <w:sz w:val="24"/>
          <w:szCs w:val="24"/>
          <w:lang w:val="en-BR"/>
        </w:rPr>
        <w:t>Strategic Alignment and Added Value</w:t>
      </w:r>
    </w:p>
    <w:p w14:paraId="66205263"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project aligns with the FATF risk-based approach, Mexico’s National Risk Assessment (ENR 2023), and national priorities on combating illicit financial flows.</w:t>
      </w:r>
    </w:p>
    <w:p w14:paraId="01058712"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The methodology is designed to be institutionalised and updated over time, ensuring sustainability. It is also scalable and can be extended to additional states or adapted to other jurisdictions.</w:t>
      </w:r>
    </w:p>
    <w:p w14:paraId="4C1B6E9E" w14:textId="77777777" w:rsidR="00C31088" w:rsidRPr="00C31088" w:rsidRDefault="00C31088" w:rsidP="00C31088">
      <w:pPr>
        <w:spacing w:before="100" w:beforeAutospacing="1" w:after="100" w:afterAutospacing="1" w:line="240" w:lineRule="auto"/>
        <w:rPr>
          <w:rFonts w:ascii="Times New Roman" w:eastAsia="Times New Roman" w:hAnsi="Times New Roman" w:cs="Times New Roman"/>
          <w:sz w:val="24"/>
          <w:szCs w:val="24"/>
          <w:lang w:val="en-BR"/>
        </w:rPr>
      </w:pPr>
      <w:r w:rsidRPr="00C31088">
        <w:rPr>
          <w:rFonts w:ascii="Times New Roman" w:eastAsia="Times New Roman" w:hAnsi="Times New Roman" w:cs="Times New Roman"/>
          <w:sz w:val="24"/>
          <w:szCs w:val="24"/>
          <w:lang w:val="en-BR"/>
        </w:rPr>
        <w:t>By building on diagnostics, piloting, and validated demand, the project delivers a scalable and sustainable approach, ensuring continuity of impact and maximising prior investments under PECEL.</w:t>
      </w:r>
    </w:p>
    <w:p w14:paraId="29E0CC58" w14:textId="77777777" w:rsidR="00A75E4F" w:rsidRPr="00C31088" w:rsidRDefault="00A75E4F">
      <w:pPr>
        <w:jc w:val="both"/>
        <w:rPr>
          <w:rFonts w:asciiTheme="majorHAnsi" w:hAnsiTheme="majorHAnsi" w:cstheme="majorHAnsi"/>
          <w:lang w:val="en-BR"/>
        </w:rPr>
      </w:pPr>
    </w:p>
    <w:sectPr w:rsidR="00A75E4F" w:rsidRPr="00C31088" w:rsidSect="00034616">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0C7F6" w14:textId="77777777" w:rsidR="002E35FE" w:rsidRDefault="002E35FE" w:rsidP="00FC765D">
      <w:pPr>
        <w:spacing w:after="0" w:line="240" w:lineRule="auto"/>
      </w:pPr>
      <w:r>
        <w:separator/>
      </w:r>
    </w:p>
  </w:endnote>
  <w:endnote w:type="continuationSeparator" w:id="0">
    <w:p w14:paraId="06800E0F" w14:textId="77777777" w:rsidR="002E35FE" w:rsidRDefault="002E35FE" w:rsidP="00FC7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9893434"/>
      <w:docPartObj>
        <w:docPartGallery w:val="Page Numbers (Bottom of Page)"/>
        <w:docPartUnique/>
      </w:docPartObj>
    </w:sdtPr>
    <w:sdtContent>
      <w:p w14:paraId="6D49BC21" w14:textId="1A5B9066" w:rsidR="00FC765D" w:rsidRDefault="00FC765D" w:rsidP="00976A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C8D96C" w14:textId="77777777" w:rsidR="00FC765D" w:rsidRDefault="00FC765D" w:rsidP="00FC76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8919652"/>
      <w:docPartObj>
        <w:docPartGallery w:val="Page Numbers (Bottom of Page)"/>
        <w:docPartUnique/>
      </w:docPartObj>
    </w:sdtPr>
    <w:sdtContent>
      <w:p w14:paraId="361BFE0D" w14:textId="7CF01141" w:rsidR="00FC765D" w:rsidRDefault="00FC765D" w:rsidP="00976A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D4E9D9" w14:textId="77777777" w:rsidR="00FC765D" w:rsidRDefault="00FC765D" w:rsidP="00FC76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25A66" w14:textId="77777777" w:rsidR="002E35FE" w:rsidRDefault="002E35FE" w:rsidP="00FC765D">
      <w:pPr>
        <w:spacing w:after="0" w:line="240" w:lineRule="auto"/>
      </w:pPr>
      <w:r>
        <w:separator/>
      </w:r>
    </w:p>
  </w:footnote>
  <w:footnote w:type="continuationSeparator" w:id="0">
    <w:p w14:paraId="25FB681A" w14:textId="77777777" w:rsidR="002E35FE" w:rsidRDefault="002E35FE" w:rsidP="00FC7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D23DD"/>
    <w:multiLevelType w:val="multilevel"/>
    <w:tmpl w:val="06E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973D7"/>
    <w:multiLevelType w:val="multilevel"/>
    <w:tmpl w:val="9B7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D1F93"/>
    <w:multiLevelType w:val="multilevel"/>
    <w:tmpl w:val="223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C7997"/>
    <w:multiLevelType w:val="multilevel"/>
    <w:tmpl w:val="B65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7436F"/>
    <w:multiLevelType w:val="multilevel"/>
    <w:tmpl w:val="54A0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2180C"/>
    <w:multiLevelType w:val="multilevel"/>
    <w:tmpl w:val="57E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05339"/>
    <w:multiLevelType w:val="multilevel"/>
    <w:tmpl w:val="CCCA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B73C0"/>
    <w:multiLevelType w:val="hybridMultilevel"/>
    <w:tmpl w:val="5B868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162E05"/>
    <w:multiLevelType w:val="multilevel"/>
    <w:tmpl w:val="7C68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C1395"/>
    <w:multiLevelType w:val="multilevel"/>
    <w:tmpl w:val="E8D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70FD0"/>
    <w:multiLevelType w:val="multilevel"/>
    <w:tmpl w:val="AC9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0304E"/>
    <w:multiLevelType w:val="multilevel"/>
    <w:tmpl w:val="A4FE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D0B08"/>
    <w:multiLevelType w:val="multilevel"/>
    <w:tmpl w:val="CD3A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6120B"/>
    <w:multiLevelType w:val="multilevel"/>
    <w:tmpl w:val="C77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F72CB"/>
    <w:multiLevelType w:val="multilevel"/>
    <w:tmpl w:val="597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721FD"/>
    <w:multiLevelType w:val="hybridMultilevel"/>
    <w:tmpl w:val="3BC2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124DB2"/>
    <w:multiLevelType w:val="multilevel"/>
    <w:tmpl w:val="D62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D6B8E"/>
    <w:multiLevelType w:val="multilevel"/>
    <w:tmpl w:val="0318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66413"/>
    <w:multiLevelType w:val="multilevel"/>
    <w:tmpl w:val="E3F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50BE4"/>
    <w:multiLevelType w:val="multilevel"/>
    <w:tmpl w:val="92B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660EB"/>
    <w:multiLevelType w:val="multilevel"/>
    <w:tmpl w:val="DAE0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6A58EA"/>
    <w:multiLevelType w:val="multilevel"/>
    <w:tmpl w:val="BA5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424DA"/>
    <w:multiLevelType w:val="hybridMultilevel"/>
    <w:tmpl w:val="7D3E384E"/>
    <w:lvl w:ilvl="0" w:tplc="45820BC2">
      <w:start w:val="2"/>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C14448"/>
    <w:multiLevelType w:val="multilevel"/>
    <w:tmpl w:val="7FA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E1B2B"/>
    <w:multiLevelType w:val="multilevel"/>
    <w:tmpl w:val="0044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02B26"/>
    <w:multiLevelType w:val="multilevel"/>
    <w:tmpl w:val="34E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B2322"/>
    <w:multiLevelType w:val="multilevel"/>
    <w:tmpl w:val="10B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604EA"/>
    <w:multiLevelType w:val="multilevel"/>
    <w:tmpl w:val="6AE4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964332">
    <w:abstractNumId w:val="8"/>
  </w:num>
  <w:num w:numId="2" w16cid:durableId="1103837494">
    <w:abstractNumId w:val="6"/>
  </w:num>
  <w:num w:numId="3" w16cid:durableId="328290946">
    <w:abstractNumId w:val="5"/>
  </w:num>
  <w:num w:numId="4" w16cid:durableId="2144618275">
    <w:abstractNumId w:val="4"/>
  </w:num>
  <w:num w:numId="5" w16cid:durableId="903180479">
    <w:abstractNumId w:val="7"/>
  </w:num>
  <w:num w:numId="6" w16cid:durableId="1545673218">
    <w:abstractNumId w:val="3"/>
  </w:num>
  <w:num w:numId="7" w16cid:durableId="424500661">
    <w:abstractNumId w:val="2"/>
  </w:num>
  <w:num w:numId="8" w16cid:durableId="1734038649">
    <w:abstractNumId w:val="1"/>
  </w:num>
  <w:num w:numId="9" w16cid:durableId="1502358031">
    <w:abstractNumId w:val="0"/>
  </w:num>
  <w:num w:numId="10" w16cid:durableId="264384008">
    <w:abstractNumId w:val="29"/>
  </w:num>
  <w:num w:numId="11" w16cid:durableId="1312638583">
    <w:abstractNumId w:val="11"/>
  </w:num>
  <w:num w:numId="12" w16cid:durableId="593705829">
    <w:abstractNumId w:val="34"/>
  </w:num>
  <w:num w:numId="13" w16cid:durableId="1992753299">
    <w:abstractNumId w:val="21"/>
  </w:num>
  <w:num w:numId="14" w16cid:durableId="788430246">
    <w:abstractNumId w:val="18"/>
  </w:num>
  <w:num w:numId="15" w16cid:durableId="2091659438">
    <w:abstractNumId w:val="15"/>
  </w:num>
  <w:num w:numId="16" w16cid:durableId="20326992">
    <w:abstractNumId w:val="35"/>
  </w:num>
  <w:num w:numId="17" w16cid:durableId="1058626139">
    <w:abstractNumId w:val="36"/>
  </w:num>
  <w:num w:numId="18" w16cid:durableId="175341460">
    <w:abstractNumId w:val="16"/>
  </w:num>
  <w:num w:numId="19" w16cid:durableId="1644578427">
    <w:abstractNumId w:val="31"/>
  </w:num>
  <w:num w:numId="20" w16cid:durableId="1118334713">
    <w:abstractNumId w:val="26"/>
  </w:num>
  <w:num w:numId="21" w16cid:durableId="1383017128">
    <w:abstractNumId w:val="22"/>
  </w:num>
  <w:num w:numId="22" w16cid:durableId="977488805">
    <w:abstractNumId w:val="17"/>
  </w:num>
  <w:num w:numId="23" w16cid:durableId="1581013947">
    <w:abstractNumId w:val="23"/>
  </w:num>
  <w:num w:numId="24" w16cid:durableId="1304845171">
    <w:abstractNumId w:val="28"/>
  </w:num>
  <w:num w:numId="25" w16cid:durableId="2095348450">
    <w:abstractNumId w:val="14"/>
  </w:num>
  <w:num w:numId="26" w16cid:durableId="1625428517">
    <w:abstractNumId w:val="10"/>
  </w:num>
  <w:num w:numId="27" w16cid:durableId="56437982">
    <w:abstractNumId w:val="9"/>
  </w:num>
  <w:num w:numId="28" w16cid:durableId="1939488470">
    <w:abstractNumId w:val="30"/>
  </w:num>
  <w:num w:numId="29" w16cid:durableId="852450942">
    <w:abstractNumId w:val="25"/>
  </w:num>
  <w:num w:numId="30" w16cid:durableId="1642267219">
    <w:abstractNumId w:val="19"/>
  </w:num>
  <w:num w:numId="31" w16cid:durableId="959998327">
    <w:abstractNumId w:val="24"/>
  </w:num>
  <w:num w:numId="32" w16cid:durableId="1391925391">
    <w:abstractNumId w:val="20"/>
  </w:num>
  <w:num w:numId="33" w16cid:durableId="13967181">
    <w:abstractNumId w:val="27"/>
  </w:num>
  <w:num w:numId="34" w16cid:durableId="1481462588">
    <w:abstractNumId w:val="12"/>
  </w:num>
  <w:num w:numId="35" w16cid:durableId="274018486">
    <w:abstractNumId w:val="32"/>
  </w:num>
  <w:num w:numId="36" w16cid:durableId="1262569213">
    <w:abstractNumId w:val="33"/>
  </w:num>
  <w:num w:numId="37" w16cid:durableId="19316926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C2"/>
    <w:rsid w:val="00034616"/>
    <w:rsid w:val="0006063C"/>
    <w:rsid w:val="0015074B"/>
    <w:rsid w:val="00173F89"/>
    <w:rsid w:val="001B5091"/>
    <w:rsid w:val="00220E79"/>
    <w:rsid w:val="00227483"/>
    <w:rsid w:val="00254BC7"/>
    <w:rsid w:val="00257C4C"/>
    <w:rsid w:val="0029639D"/>
    <w:rsid w:val="002C01DC"/>
    <w:rsid w:val="002C7482"/>
    <w:rsid w:val="002E35FE"/>
    <w:rsid w:val="00326F90"/>
    <w:rsid w:val="003317FE"/>
    <w:rsid w:val="003A2371"/>
    <w:rsid w:val="003C0CE1"/>
    <w:rsid w:val="003C68A9"/>
    <w:rsid w:val="004749F1"/>
    <w:rsid w:val="0049567C"/>
    <w:rsid w:val="004B73B2"/>
    <w:rsid w:val="004C5A80"/>
    <w:rsid w:val="004D6372"/>
    <w:rsid w:val="0052354A"/>
    <w:rsid w:val="00565486"/>
    <w:rsid w:val="005A5503"/>
    <w:rsid w:val="0063414E"/>
    <w:rsid w:val="007E4C36"/>
    <w:rsid w:val="007F702D"/>
    <w:rsid w:val="00841B3F"/>
    <w:rsid w:val="008512FE"/>
    <w:rsid w:val="008A723E"/>
    <w:rsid w:val="008D62C5"/>
    <w:rsid w:val="008F2B6F"/>
    <w:rsid w:val="00956FA2"/>
    <w:rsid w:val="00A028B2"/>
    <w:rsid w:val="00A10E95"/>
    <w:rsid w:val="00A75E4F"/>
    <w:rsid w:val="00AA1D8D"/>
    <w:rsid w:val="00B47730"/>
    <w:rsid w:val="00B5452E"/>
    <w:rsid w:val="00BE62ED"/>
    <w:rsid w:val="00C15E16"/>
    <w:rsid w:val="00C31088"/>
    <w:rsid w:val="00CB0664"/>
    <w:rsid w:val="00CF0008"/>
    <w:rsid w:val="00CF20B0"/>
    <w:rsid w:val="00D170C9"/>
    <w:rsid w:val="00D77345"/>
    <w:rsid w:val="00DD3776"/>
    <w:rsid w:val="00E3765D"/>
    <w:rsid w:val="00EF4D6F"/>
    <w:rsid w:val="00F82A17"/>
    <w:rsid w:val="00FC693F"/>
    <w:rsid w:val="00FC76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CC4B6"/>
  <w14:defaultImageDpi w14:val="300"/>
  <w15:docId w15:val="{535A9F88-69E3-0943-8C41-42EFA315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C0CE1"/>
    <w:pPr>
      <w:spacing w:before="100" w:beforeAutospacing="1" w:after="100" w:afterAutospacing="1" w:line="240" w:lineRule="auto"/>
    </w:pPr>
    <w:rPr>
      <w:rFonts w:ascii="Times New Roman" w:eastAsia="Times New Roman" w:hAnsi="Times New Roman" w:cs="Times New Roman"/>
      <w:sz w:val="24"/>
      <w:szCs w:val="24"/>
      <w:lang w:val="en-BR"/>
    </w:rPr>
  </w:style>
  <w:style w:type="character" w:styleId="Hyperlink">
    <w:name w:val="Hyperlink"/>
    <w:basedOn w:val="DefaultParagraphFont"/>
    <w:uiPriority w:val="99"/>
    <w:unhideWhenUsed/>
    <w:rsid w:val="003C0CE1"/>
    <w:rPr>
      <w:color w:val="0000FF" w:themeColor="hyperlink"/>
      <w:u w:val="single"/>
    </w:rPr>
  </w:style>
  <w:style w:type="character" w:styleId="UnresolvedMention">
    <w:name w:val="Unresolved Mention"/>
    <w:basedOn w:val="DefaultParagraphFont"/>
    <w:uiPriority w:val="99"/>
    <w:semiHidden/>
    <w:unhideWhenUsed/>
    <w:rsid w:val="003C0CE1"/>
    <w:rPr>
      <w:color w:val="605E5C"/>
      <w:shd w:val="clear" w:color="auto" w:fill="E1DFDD"/>
    </w:rPr>
  </w:style>
  <w:style w:type="character" w:styleId="PageNumber">
    <w:name w:val="page number"/>
    <w:basedOn w:val="DefaultParagraphFont"/>
    <w:uiPriority w:val="99"/>
    <w:semiHidden/>
    <w:unhideWhenUsed/>
    <w:rsid w:val="00FC7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govris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1721</Words>
  <Characters>11294</Characters>
  <Application>Microsoft Office Word</Application>
  <DocSecurity>0</DocSecurity>
  <Lines>173</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Willcock</cp:lastModifiedBy>
  <cp:revision>3</cp:revision>
  <dcterms:created xsi:type="dcterms:W3CDTF">2026-03-30T20:41:00Z</dcterms:created>
  <dcterms:modified xsi:type="dcterms:W3CDTF">2026-03-30T20:43:00Z</dcterms:modified>
  <cp:category/>
</cp:coreProperties>
</file>