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4771" w14:textId="0653DAEE" w:rsidR="008F16B3" w:rsidRPr="008F16B3" w:rsidRDefault="008F16B3" w:rsidP="008F16B3">
      <w:pPr>
        <w:spacing w:before="100" w:beforeAutospacing="1" w:after="100" w:afterAutospacing="1" w:line="240" w:lineRule="auto"/>
        <w:jc w:val="center"/>
        <w:rPr>
          <w:rFonts w:ascii="Arial" w:eastAsia="Times New Roman" w:hAnsi="Arial" w:cs="Arial"/>
          <w:b/>
          <w:bCs/>
          <w:kern w:val="36"/>
          <w14:ligatures w14:val="none"/>
        </w:rPr>
      </w:pPr>
      <w:r w:rsidRPr="008F16B3">
        <w:rPr>
          <w:rFonts w:ascii="Arial" w:eastAsia="Times New Roman" w:hAnsi="Arial" w:cs="Arial"/>
          <w:b/>
          <w:bCs/>
          <w:kern w:val="36"/>
          <w14:ligatures w14:val="none"/>
        </w:rPr>
        <w:t xml:space="preserve">Propuesta PECEL Fase II: Narrativa y Desglose Detallado de Actividades </w:t>
      </w:r>
      <w:r>
        <w:rPr>
          <w:rFonts w:ascii="Arial" w:eastAsia="Times New Roman" w:hAnsi="Arial" w:cs="Arial"/>
          <w:b/>
          <w:bCs/>
          <w:kern w:val="36"/>
          <w14:ligatures w14:val="none"/>
        </w:rPr>
        <w:t xml:space="preserve">de GovRisk </w:t>
      </w:r>
      <w:r w:rsidRPr="008F16B3">
        <w:rPr>
          <w:rFonts w:ascii="Arial" w:eastAsia="Times New Roman" w:hAnsi="Arial" w:cs="Arial"/>
          <w:b/>
          <w:bCs/>
          <w:kern w:val="36"/>
          <w14:ligatures w14:val="none"/>
        </w:rPr>
        <w:t>para la Implementación</w:t>
      </w:r>
      <w:r>
        <w:rPr>
          <w:rFonts w:ascii="Arial" w:eastAsia="Times New Roman" w:hAnsi="Arial" w:cs="Arial"/>
          <w:b/>
          <w:bCs/>
          <w:kern w:val="36"/>
          <w14:ligatures w14:val="none"/>
        </w:rPr>
        <w:t xml:space="preserve"> (25/03/2026)</w:t>
      </w:r>
    </w:p>
    <w:p w14:paraId="49A09169" w14:textId="73CFA32F"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La segunda fase del PECEL se orienta a consolidar, escalar y sistematizar los avances alcanzados en la etapa inicial, con el propósito de fortalecer de manera sostenible las capacidades de las Unidades de Inteligencia Patrimonial y Económica (UIPE) en el ámbito estatal.</w:t>
      </w:r>
    </w:p>
    <w:p w14:paraId="2FF75724"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Esta fase incorpora de manera transversal una perspectiva de macrocriminalidad y un enfoque basado en riesgos, alineándose además con las prioridades de la cooperación bilateral entre México y Estados Unidos en materia de seguridad, particularmente en el marco del Entendimiento Bicentenario.</w:t>
      </w:r>
    </w:p>
    <w:p w14:paraId="3ED6CC6E"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En este contexto, el fortalecimiento de la inteligencia patrimonial a nivel estatal contribuye directamente a los esfuerzos conjuntos para combatir las finanzas de las organizaciones criminales, desarticular redes económicas ilícitas y reducir su capacidad operativa. Esto incluye estructuras vinculadas al tráfico de drogas sintéticas, especialmente fentanilo, la corrupción y otras economías ilícitas de alto impacto.</w:t>
      </w:r>
    </w:p>
    <w:p w14:paraId="516D7552"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Desde esta perspectiva, el proyecto parte del reconocimiento de que las organizaciones criminales operan mediante estructuras financieras complejas, diversificadas y, en muchos casos, transnacionales. Estas estructuras facilitan tanto la producción y distribución de drogas sintéticas como el lavado de activos y la infiltración en economías legales. En este sentido, el fortalecimiento de las UIPE resulta clave para avanzar hacia una estrategia centrada en el seguimiento del dinero, un enfoque prioritario en la política de seguridad de Estados Unidos.</w:t>
      </w:r>
    </w:p>
    <w:p w14:paraId="6F3AB110"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A diferencia de aproximaciones centradas exclusivamente en casos individuales, la perspectiva de macrocriminalidad permite comprender los fenómenos delictivos como sistemas económicos complejos, en los que convergen actores criminales, redes empresariales, facilitadores financieros y posibles esquemas de corrupción. Este enfoque permite no solo identificar a los responsables directos, sino también desentrañar las estructuras que sostienen actividades como el tráfico de fentanilo, el desvío de recursos públicos o el uso de empresas fachada para el lavado de dinero.</w:t>
      </w:r>
    </w:p>
    <w:p w14:paraId="39A7B0B1"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2675DF88">
          <v:rect id="_x0000_i1038" alt="" style="width:441.8pt;height:.05pt;mso-width-percent:0;mso-height-percent:0;mso-width-percent:0;mso-height-percent:0" o:hrpct="944" o:hralign="center" o:hrstd="t" o:hr="t" fillcolor="#a0a0a0" stroked="f"/>
        </w:pict>
      </w:r>
    </w:p>
    <w:p w14:paraId="71325622"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Política de homologación de las UIPE</w:t>
      </w:r>
    </w:p>
    <w:p w14:paraId="331F3C68"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En este marco, uno de los ejes centrales de la fase II es la implementación de la política de homologación de las UIPE, concebida como un instrumento para estandarizar capacidades organizacionales, metodológicas, tecnológicas y operativas a nivel estatal.</w:t>
      </w:r>
    </w:p>
    <w:p w14:paraId="505D2464"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lastRenderedPageBreak/>
        <w:t>Esta política busca reducir las brechas institucionales entre entidades federativas y garantizar que las UIPE operen bajo principios comunes, particularmente en la producción de inteligencia estratégica, táctica y operativa, así como en su articulación con las fiscalías.</w:t>
      </w:r>
    </w:p>
    <w:p w14:paraId="2049FC87"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La homologación permitirá avanzar hacia un modelo más coherente de inteligencia patrimonial, facilitando la generación de productos comparables, la replicabilidad de metodologías y una mejor coordinación interinstitucional. Asimismo, contribuye a alinear el trabajo de las UIPE con estándares internacionales en materia de combate al lavado de dinero, incluyendo aquellos promovidos por el GAFI y las prioridades de cooperación internacional en la materia.</w:t>
      </w:r>
    </w:p>
    <w:p w14:paraId="5169859B"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1570E269">
          <v:rect id="_x0000_i1037" alt="" style="width:441.8pt;height:.05pt;mso-width-percent:0;mso-height-percent:0;mso-width-percent:0;mso-height-percent:0" o:hrpct="944" o:hralign="center" o:hrstd="t" o:hr="t" fillcolor="#a0a0a0" stroked="f"/>
        </w:pict>
      </w:r>
    </w:p>
    <w:p w14:paraId="58377ED9"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Desarrollo institucional de nuevas UIPE</w:t>
      </w:r>
    </w:p>
    <w:p w14:paraId="640A281E"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Como parte de este proceso, el proyecto contempla el desarrollo institucional de nuevas UIPE mediante evaluaciones generales de capacidades, la identificación de brechas y la implementación de procesos de fortalecimiento técnico.</w:t>
      </w:r>
    </w:p>
    <w:p w14:paraId="74B1E634"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Este componente busca consolidar capacidades analíticas que permitan a las unidades no solo responder a solicitudes de análisis, sino también anticipar riesgos, identificar sectores vulnerables y detectar patrones asociados a redes financieras ilícitas, incluidas aquellas vinculadas a mercados de drogas sintéticas y esquemas de corrupción.</w:t>
      </w:r>
    </w:p>
    <w:p w14:paraId="67D95AE4"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5C047B72">
          <v:rect id="_x0000_i1036" alt="" style="width:441.8pt;height:.05pt;mso-width-percent:0;mso-height-percent:0;mso-width-percent:0;mso-height-percent:0" o:hrpct="944" o:hralign="center" o:hrstd="t" o:hr="t" fillcolor="#a0a0a0" stroked="f"/>
        </w:pict>
      </w:r>
    </w:p>
    <w:p w14:paraId="1880BC5D"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Seguimiento y consolidación de UIPE intervenidas en Fase I</w:t>
      </w:r>
    </w:p>
    <w:p w14:paraId="1DC705F7"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De manera complementaria, se dará continuidad al acompañamiento técnico de las UIPE intervenidas en la fase 1, con el objetivo de consolidar los avances logrados y fortalecer su implementación operativa.</w:t>
      </w:r>
    </w:p>
    <w:p w14:paraId="773CA7D3"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Este acompañamiento pondrá especial énfasis en:</w:t>
      </w:r>
    </w:p>
    <w:p w14:paraId="6CFF3459" w14:textId="77777777" w:rsidR="008F16B3" w:rsidRPr="008F16B3" w:rsidRDefault="008F16B3" w:rsidP="008F16B3">
      <w:pPr>
        <w:numPr>
          <w:ilvl w:val="0"/>
          <w:numId w:val="4"/>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la adopción de los estándares definidos en la política de homologación,</w:t>
      </w:r>
    </w:p>
    <w:p w14:paraId="15882D5A" w14:textId="77777777" w:rsidR="008F16B3" w:rsidRPr="008F16B3" w:rsidRDefault="008F16B3" w:rsidP="008F16B3">
      <w:pPr>
        <w:numPr>
          <w:ilvl w:val="0"/>
          <w:numId w:val="4"/>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el uso de herramientas analíticas para identificar estructuras económicas complejas, beneficiarios finales y mecanismos de ocultamiento patrimonial, y</w:t>
      </w:r>
    </w:p>
    <w:p w14:paraId="24408248" w14:textId="77777777" w:rsidR="008F16B3" w:rsidRPr="008F16B3" w:rsidRDefault="008F16B3" w:rsidP="008F16B3">
      <w:pPr>
        <w:numPr>
          <w:ilvl w:val="0"/>
          <w:numId w:val="4"/>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la generación de productos de inteligencia útiles para investigaciones de alto impacto.</w:t>
      </w:r>
    </w:p>
    <w:p w14:paraId="59D2BA8E"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4AC49A74">
          <v:rect id="_x0000_i1035" alt="" style="width:441.8pt;height:.05pt;mso-width-percent:0;mso-height-percent:0;mso-width-percent:0;mso-height-percent:0" o:hrpct="944" o:hralign="center" o:hrstd="t" o:hr="t" fillcolor="#a0a0a0" stroked="f"/>
        </w:pict>
      </w:r>
    </w:p>
    <w:p w14:paraId="044BAE7C"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lastRenderedPageBreak/>
        <w:t>Coordinación interinstitucional y mesas de caso</w:t>
      </w:r>
    </w:p>
    <w:p w14:paraId="667176CE"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Asimismo, se promoverá la implementación de mecanismos de coordinación como las mesas de caso entre UIPE y fiscalías, con el fin de fortalecer la integración entre inteligencia patrimonial e investigación penal.</w:t>
      </w:r>
    </w:p>
    <w:p w14:paraId="29E799AC"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Estos espacios permitirán avanzar hacia modelos de investigación orientados a desarticular redes criminales, más allá de la persecución de individuos aislados, en línea con enfoques adoptados en el combate al crimen organizado transnacional.</w:t>
      </w:r>
    </w:p>
    <w:p w14:paraId="34FF3759"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7CEAA494">
          <v:rect id="_x0000_i1034" alt="" style="width:441.8pt;height:.05pt;mso-width-percent:0;mso-height-percent:0;mso-width-percent:0;mso-height-percent:0" o:hrpct="944" o:hralign="center" o:hrstd="t" o:hr="t" fillcolor="#a0a0a0" stroked="f"/>
        </w:pict>
      </w:r>
    </w:p>
    <w:p w14:paraId="3DFB1F55"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Análisis de riesgos a nivel estatal</w:t>
      </w:r>
    </w:p>
    <w:p w14:paraId="65EDDD16"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En entidades como Yucatán y Quintana Roo, el acompañamiento focalizado en análisis de riesgo permitirá identificar vulnerabilidades específicas asociadas a dinámicas regionales, incluyendo posibles rutas, sectores económicos y esquemas de lavado vinculados a economías ilícitas.</w:t>
      </w:r>
    </w:p>
    <w:p w14:paraId="714793B1"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Este enfoque fortalecerá la capacidad de las UIPE para generar inteligencia estratégica que oriente acciones de prevención y mitigación, en congruencia con el enfoque basado en riesgos promovido por la política de homologación.</w:t>
      </w:r>
    </w:p>
    <w:p w14:paraId="61F9F36C"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10766FBE">
          <v:rect id="_x0000_i1033" alt="" style="width:441.8pt;height:.05pt;mso-width-percent:0;mso-height-percent:0;mso-width-percent:0;mso-height-percent:0" o:hrpct="944" o:hralign="center" o:hrstd="t" o:hr="t" fillcolor="#a0a0a0" stroked="f"/>
        </w:pict>
      </w:r>
    </w:p>
    <w:p w14:paraId="4CFC5551"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Acompañamiento a casos y fortalecimiento de la judicialización</w:t>
      </w:r>
    </w:p>
    <w:p w14:paraId="0761F186"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Por otra parte, el componente de acompañamiento a casos en fiscalías estatales permitirá traducir las capacidades analíticas desarrolladas en resultados concretos, particularmente en investigaciones relacionadas con ORPI, corrupción y redes económicas vinculadas al narcotráfico.</w:t>
      </w:r>
    </w:p>
    <w:p w14:paraId="537B6723"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Este componente es clave para cerrar la brecha entre análisis e investigación, asegurando que la inteligencia patrimonial contribuya de manera efectiva a la judicialización de casos.</w:t>
      </w:r>
    </w:p>
    <w:p w14:paraId="4030922A"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0AD6889C">
          <v:rect id="_x0000_i1032" alt="" style="width:441.8pt;height:.05pt;mso-width-percent:0;mso-height-percent:0;mso-width-percent:0;mso-height-percent:0" o:hrpct="944" o:hralign="center" o:hrstd="t" o:hr="t" fillcolor="#a0a0a0" stroked="f"/>
        </w:pict>
      </w:r>
    </w:p>
    <w:p w14:paraId="2264370B"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Capacitación a nivel federal</w:t>
      </w:r>
    </w:p>
    <w:p w14:paraId="79A0560B"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 xml:space="preserve">Finalmente, el proyecto contempla la capacitación a nivel federal, dirigida a la Unidad de Inteligencia Financiera y otras instancias relevantes, con el objetivo de </w:t>
      </w:r>
      <w:r w:rsidRPr="008F16B3">
        <w:rPr>
          <w:rFonts w:ascii="Arial" w:eastAsia="Times New Roman" w:hAnsi="Arial" w:cs="Arial"/>
          <w:kern w:val="0"/>
          <w:lang w:val="en-BR"/>
          <w14:ligatures w14:val="none"/>
        </w:rPr>
        <w:lastRenderedPageBreak/>
        <w:t>fortalecer la coordinación interinstitucional, alinear enfoques analíticos y mejorar la capacidad de intercambio de información.</w:t>
      </w:r>
    </w:p>
    <w:p w14:paraId="1711D4EA"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Este componente resulta particularmente relevante en el contexto de la cooperación México–Estados Unidos, donde la interoperabilidad institucional y el intercambio de inteligencia financiera son elementos centrales para combatir redes ilícitas de carácter transnacional.</w:t>
      </w:r>
    </w:p>
    <w:p w14:paraId="2221E4A9"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4144B5B5">
          <v:rect id="_x0000_i1031" alt="" style="width:441.8pt;height:.05pt;mso-width-percent:0;mso-height-percent:0;mso-width-percent:0;mso-height-percent:0" o:hrpct="944" o:hralign="center" o:hrstd="t" o:hr="t" fillcolor="#a0a0a0" stroked="f"/>
        </w:pict>
      </w:r>
    </w:p>
    <w:p w14:paraId="094DDE19"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Conclusión</w:t>
      </w:r>
    </w:p>
    <w:p w14:paraId="0B4E0920"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En conjunto, esta segunda fase representa un paso decisivo hacia la consolidación de un modelo de inteligencia patrimonial homologado, basado en riesgos, orientado a la comprensión de la macrocriminalidad y alineado con las prioridades de seguridad de México y Estados Unidos.</w:t>
      </w:r>
    </w:p>
    <w:p w14:paraId="4BC0D243"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Este enfoque permitirá a las UIPE no solo mejorar su desempeño operativo, sino también contribuir de manera estratégica a la desarticulación de redes financieras ilícitas, el combate a la corrupción y la reducción de la capacidad operativa de organizaciones criminales, incluidas aquellas involucradas en el tráfico de fentanilo.</w:t>
      </w:r>
    </w:p>
    <w:p w14:paraId="3F4F32AD"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De esta manera, el PECEL se posiciona como una iniciativa clave para fortalecer el Estado de derecho en México, consolidar capacidades institucionales a nivel estatal y contribuir a los objetivos compartidos de seguridad regional.</w:t>
      </w:r>
    </w:p>
    <w:p w14:paraId="5C57E49F"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31FC1819">
          <v:rect id="_x0000_i1030" alt="" style="width:441.8pt;height:.05pt;mso-width-percent:0;mso-height-percent:0;mso-width-percent:0;mso-height-percent:0" o:hrpct="944" o:hralign="center" o:hrstd="t" o:hr="t" fillcolor="#a0a0a0" stroked="f"/>
        </w:pict>
      </w:r>
    </w:p>
    <w:p w14:paraId="32EA966F" w14:textId="77777777" w:rsidR="008F16B3" w:rsidRPr="008F16B3" w:rsidRDefault="008F16B3" w:rsidP="008F16B3">
      <w:pPr>
        <w:spacing w:before="100" w:beforeAutospacing="1" w:after="100" w:afterAutospacing="1" w:line="240" w:lineRule="auto"/>
        <w:jc w:val="both"/>
        <w:outlineLvl w:val="0"/>
        <w:rPr>
          <w:rFonts w:ascii="Arial" w:eastAsia="Times New Roman" w:hAnsi="Arial" w:cs="Arial"/>
          <w:b/>
          <w:bCs/>
          <w:kern w:val="36"/>
          <w:sz w:val="48"/>
          <w:szCs w:val="48"/>
          <w:lang w:val="en-BR"/>
          <w14:ligatures w14:val="none"/>
        </w:rPr>
      </w:pPr>
      <w:r w:rsidRPr="008F16B3">
        <w:rPr>
          <w:rFonts w:ascii="Arial" w:eastAsia="Times New Roman" w:hAnsi="Arial" w:cs="Arial"/>
          <w:b/>
          <w:bCs/>
          <w:kern w:val="36"/>
          <w:sz w:val="48"/>
          <w:szCs w:val="48"/>
          <w:lang w:val="en-BR"/>
          <w14:ligatures w14:val="none"/>
        </w:rPr>
        <w:t>Actividades GovRisk</w:t>
      </w:r>
    </w:p>
    <w:p w14:paraId="6C99DEAA"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Socialización de la política de homologación</w:t>
      </w:r>
    </w:p>
    <w:p w14:paraId="65FFFE64"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A través de la Comisión Nacional de UIPE, socializar la política de homologación mediante:</w:t>
      </w:r>
    </w:p>
    <w:p w14:paraId="28CF2C0E" w14:textId="77777777" w:rsidR="008F16B3" w:rsidRPr="008F16B3" w:rsidRDefault="008F16B3" w:rsidP="008F16B3">
      <w:pPr>
        <w:numPr>
          <w:ilvl w:val="0"/>
          <w:numId w:val="5"/>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1 evento nacional presencial de 2 días</w:t>
      </w:r>
    </w:p>
    <w:p w14:paraId="2ED9D3E1" w14:textId="77777777" w:rsidR="008F16B3" w:rsidRPr="008F16B3" w:rsidRDefault="008F16B3" w:rsidP="008F16B3">
      <w:pPr>
        <w:numPr>
          <w:ilvl w:val="0"/>
          <w:numId w:val="5"/>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3 eventos regionales virtuales</w:t>
      </w:r>
    </w:p>
    <w:p w14:paraId="75A21A74"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El producto esperado será un plan de implementación de la política de homologación, que incluya una estrategia de gradualidad.</w:t>
      </w:r>
    </w:p>
    <w:p w14:paraId="66DDCB6D"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En estos eventos, se podrán invitar instancias federales para su posible integración en la estrategia de implementación.</w:t>
      </w:r>
    </w:p>
    <w:p w14:paraId="65D1F507"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lastRenderedPageBreak/>
        <w:pict w14:anchorId="7A144F4E">
          <v:rect id="_x0000_i1029" alt="" style="width:441.8pt;height:.05pt;mso-width-percent:0;mso-height-percent:0;mso-width-percent:0;mso-height-percent:0" o:hrpct="944" o:hralign="center" o:hrstd="t" o:hr="t" fillcolor="#a0a0a0" stroked="f"/>
        </w:pict>
      </w:r>
    </w:p>
    <w:p w14:paraId="42B204FB"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Réplica de ejercicios de análisis de riesgos en las UIPE</w:t>
      </w:r>
    </w:p>
    <w:p w14:paraId="4275D931"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Implementación de ejercicios de análisis de riesgos en:</w:t>
      </w:r>
    </w:p>
    <w:p w14:paraId="3E19F5A2" w14:textId="77777777" w:rsidR="008F16B3" w:rsidRPr="008F16B3" w:rsidRDefault="008F16B3" w:rsidP="008F16B3">
      <w:pPr>
        <w:numPr>
          <w:ilvl w:val="0"/>
          <w:numId w:val="6"/>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4 UIPE intervenidas: Querétaro, Nayarit, Baja California Sur y Oaxaca</w:t>
      </w:r>
    </w:p>
    <w:p w14:paraId="04F1109C" w14:textId="77777777" w:rsidR="008F16B3" w:rsidRPr="008F16B3" w:rsidRDefault="008F16B3" w:rsidP="008F16B3">
      <w:pPr>
        <w:numPr>
          <w:ilvl w:val="0"/>
          <w:numId w:val="6"/>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2 UIPE adicionales: Baja California y Guanajuato</w:t>
      </w:r>
    </w:p>
    <w:p w14:paraId="2F16F276"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39A22FD6">
          <v:rect id="_x0000_i1028" alt="" style="width:441.8pt;height:.05pt;mso-width-percent:0;mso-height-percent:0;mso-width-percent:0;mso-height-percent:0" o:hrpct="944" o:hralign="center" o:hrstd="t" o:hr="t" fillcolor="#a0a0a0" stroked="f"/>
        </w:pict>
      </w:r>
    </w:p>
    <w:p w14:paraId="1E605EC7"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Desarrollo institucional de nuevas UIPE</w:t>
      </w:r>
    </w:p>
    <w:p w14:paraId="7220BDD3"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Desarrollo institucional en: Baja California, Sinaloa, Hidalgo, Guanajuato y Colima</w:t>
      </w:r>
    </w:p>
    <w:p w14:paraId="6D1F3711"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Incluye:</w:t>
      </w:r>
    </w:p>
    <w:p w14:paraId="61908B46" w14:textId="77777777" w:rsidR="008F16B3" w:rsidRPr="008F16B3" w:rsidRDefault="008F16B3" w:rsidP="008F16B3">
      <w:pPr>
        <w:numPr>
          <w:ilvl w:val="0"/>
          <w:numId w:val="7"/>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1 evaluación general por estado, que comprende:</w:t>
      </w:r>
    </w:p>
    <w:p w14:paraId="013BDF44" w14:textId="77777777" w:rsidR="008F16B3" w:rsidRPr="008F16B3" w:rsidRDefault="008F16B3" w:rsidP="008F16B3">
      <w:pPr>
        <w:numPr>
          <w:ilvl w:val="1"/>
          <w:numId w:val="7"/>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Revisión de brechas a partir del cuestionario de las UIPE</w:t>
      </w:r>
    </w:p>
    <w:p w14:paraId="70F0D737" w14:textId="77777777" w:rsidR="008F16B3" w:rsidRPr="008F16B3" w:rsidRDefault="008F16B3" w:rsidP="008F16B3">
      <w:pPr>
        <w:numPr>
          <w:ilvl w:val="1"/>
          <w:numId w:val="7"/>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Visita de campo (2 días por estado) con reuniones con actores clave</w:t>
      </w:r>
    </w:p>
    <w:p w14:paraId="627D5CEE" w14:textId="77777777" w:rsidR="008F16B3" w:rsidRPr="008F16B3" w:rsidRDefault="008F16B3" w:rsidP="008F16B3">
      <w:pPr>
        <w:numPr>
          <w:ilvl w:val="1"/>
          <w:numId w:val="7"/>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Borrador de evaluación general y validación virtual con las UIPE</w:t>
      </w:r>
    </w:p>
    <w:p w14:paraId="7E62F6BE" w14:textId="77777777" w:rsidR="008F16B3" w:rsidRPr="008F16B3" w:rsidRDefault="008F16B3" w:rsidP="008F16B3">
      <w:pPr>
        <w:numPr>
          <w:ilvl w:val="0"/>
          <w:numId w:val="7"/>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5 sesiones virtuales de medio día por estado</w:t>
      </w:r>
      <w:r w:rsidRPr="008F16B3">
        <w:rPr>
          <w:rFonts w:ascii="Arial" w:eastAsia="Times New Roman" w:hAnsi="Arial" w:cs="Arial"/>
          <w:kern w:val="0"/>
          <w:lang w:val="en-BR"/>
          <w14:ligatures w14:val="none"/>
        </w:rPr>
        <w:br/>
        <w:t>(1 día de LOE x 5 capacitaciones x 1 experto x 6 estados)</w:t>
      </w:r>
    </w:p>
    <w:p w14:paraId="35A0C086" w14:textId="77777777" w:rsidR="008F16B3" w:rsidRPr="008F16B3" w:rsidRDefault="008F16B3" w:rsidP="008F16B3">
      <w:pPr>
        <w:numPr>
          <w:ilvl w:val="0"/>
          <w:numId w:val="7"/>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3 capacitaciones presenciales de 2 días por estado</w:t>
      </w:r>
      <w:r w:rsidRPr="008F16B3">
        <w:rPr>
          <w:rFonts w:ascii="Arial" w:eastAsia="Times New Roman" w:hAnsi="Arial" w:cs="Arial"/>
          <w:kern w:val="0"/>
          <w:lang w:val="en-BR"/>
          <w14:ligatures w14:val="none"/>
        </w:rPr>
        <w:br/>
        <w:t>(3 días de LOE x 3 capacitaciones x 1 experto x 6 estados)</w:t>
      </w:r>
      <w:r w:rsidRPr="008F16B3">
        <w:rPr>
          <w:rFonts w:ascii="Arial" w:eastAsia="Times New Roman" w:hAnsi="Arial" w:cs="Arial"/>
          <w:kern w:val="0"/>
          <w:lang w:val="en-BR"/>
          <w14:ligatures w14:val="none"/>
        </w:rPr>
        <w:br/>
        <w:t>incluyendo costos de viaje para dos expertos</w:t>
      </w:r>
    </w:p>
    <w:p w14:paraId="7306A4ED"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6EC8D5E1">
          <v:rect id="_x0000_i1027" alt="" style="width:441.8pt;height:.05pt;mso-width-percent:0;mso-height-percent:0;mso-width-percent:0;mso-height-percent:0" o:hrpct="944" o:hralign="center" o:hrstd="t" o:hr="t" fillcolor="#a0a0a0" stroked="f"/>
        </w:pict>
      </w:r>
    </w:p>
    <w:p w14:paraId="60F2068A"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Seguimiento del desarrollo institucional de las UIPE intervenidas en Fase I</w:t>
      </w:r>
    </w:p>
    <w:p w14:paraId="3FF1D24C"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Capacitaciones bajo modalidad de acompañamiento técnico:</w:t>
      </w:r>
    </w:p>
    <w:p w14:paraId="3B1D723F" w14:textId="77777777" w:rsidR="008F16B3" w:rsidRPr="008F16B3" w:rsidRDefault="008F16B3" w:rsidP="008F16B3">
      <w:pPr>
        <w:numPr>
          <w:ilvl w:val="0"/>
          <w:numId w:val="8"/>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6 capacitaciones virtuales de medio día por estado</w:t>
      </w:r>
      <w:r w:rsidRPr="008F16B3">
        <w:rPr>
          <w:rFonts w:ascii="Arial" w:eastAsia="Times New Roman" w:hAnsi="Arial" w:cs="Arial"/>
          <w:kern w:val="0"/>
          <w:lang w:val="en-BR"/>
          <w14:ligatures w14:val="none"/>
        </w:rPr>
        <w:br/>
        <w:t>(1 día de LOE x 6 capacitaciones x 1 experto x 6 estados)</w:t>
      </w:r>
    </w:p>
    <w:p w14:paraId="73B49D0C"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Ejemplo: activación de mesas de caso entre UIPE y fiscalías</w:t>
      </w:r>
    </w:p>
    <w:p w14:paraId="72F9BE1B" w14:textId="77777777" w:rsidR="008F16B3" w:rsidRPr="008F16B3" w:rsidRDefault="008F16B3" w:rsidP="008F16B3">
      <w:pPr>
        <w:numPr>
          <w:ilvl w:val="0"/>
          <w:numId w:val="9"/>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Yucatán y Quintana Roo:</w:t>
      </w:r>
      <w:r w:rsidRPr="008F16B3">
        <w:rPr>
          <w:rFonts w:ascii="Arial" w:eastAsia="Times New Roman" w:hAnsi="Arial" w:cs="Arial"/>
          <w:kern w:val="0"/>
          <w:lang w:val="en-BR"/>
          <w14:ligatures w14:val="none"/>
        </w:rPr>
        <w:br/>
        <w:t>4 capacitaciones virtuales de medio día</w:t>
      </w:r>
      <w:r w:rsidRPr="008F16B3">
        <w:rPr>
          <w:rFonts w:ascii="Arial" w:eastAsia="Times New Roman" w:hAnsi="Arial" w:cs="Arial"/>
          <w:kern w:val="0"/>
          <w:lang w:val="en-BR"/>
          <w14:ligatures w14:val="none"/>
        </w:rPr>
        <w:br/>
        <w:t>(1 día de LOE x 4 capacitaciones x 1 experto x 2 estados)</w:t>
      </w:r>
    </w:p>
    <w:p w14:paraId="71FF0F76"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lastRenderedPageBreak/>
        <w:t>Ejemplo: acompañamiento para análisis de riesgo y medidas de mitigación</w:t>
      </w:r>
    </w:p>
    <w:p w14:paraId="6101133B" w14:textId="77777777" w:rsidR="008F16B3" w:rsidRPr="008F16B3" w:rsidRDefault="008F16B3" w:rsidP="008F16B3">
      <w:p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Se han incluido costos logísticos, sujetos a variación según necesidades del proyecto.</w:t>
      </w:r>
    </w:p>
    <w:p w14:paraId="014BB7E6"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69661BD2">
          <v:rect id="_x0000_i1026" alt="" style="width:441.8pt;height:.05pt;mso-width-percent:0;mso-height-percent:0;mso-width-percent:0;mso-height-percent:0" o:hrpct="944" o:hralign="center" o:hrstd="t" o:hr="t" fillcolor="#a0a0a0" stroked="f"/>
        </w:pict>
      </w:r>
    </w:p>
    <w:p w14:paraId="50DA9086" w14:textId="77777777" w:rsidR="008F16B3" w:rsidRPr="008F16B3" w:rsidRDefault="008F16B3" w:rsidP="008F16B3">
      <w:pPr>
        <w:spacing w:before="100" w:beforeAutospacing="1" w:after="100" w:afterAutospacing="1" w:line="240" w:lineRule="auto"/>
        <w:jc w:val="both"/>
        <w:outlineLvl w:val="1"/>
        <w:rPr>
          <w:rFonts w:ascii="Arial" w:eastAsia="Times New Roman" w:hAnsi="Arial" w:cs="Arial"/>
          <w:b/>
          <w:bCs/>
          <w:kern w:val="0"/>
          <w:sz w:val="36"/>
          <w:szCs w:val="36"/>
          <w:lang w:val="en-BR"/>
          <w14:ligatures w14:val="none"/>
        </w:rPr>
      </w:pPr>
      <w:r w:rsidRPr="008F16B3">
        <w:rPr>
          <w:rFonts w:ascii="Arial" w:eastAsia="Times New Roman" w:hAnsi="Arial" w:cs="Arial"/>
          <w:b/>
          <w:bCs/>
          <w:kern w:val="0"/>
          <w:sz w:val="36"/>
          <w:szCs w:val="36"/>
          <w:lang w:val="en-BR"/>
          <w14:ligatures w14:val="none"/>
        </w:rPr>
        <w:t>Otros componentes</w:t>
      </w:r>
    </w:p>
    <w:p w14:paraId="6BE757B2" w14:textId="77777777" w:rsidR="008F16B3" w:rsidRPr="008F16B3" w:rsidRDefault="008F16B3" w:rsidP="008F16B3">
      <w:pPr>
        <w:numPr>
          <w:ilvl w:val="0"/>
          <w:numId w:val="10"/>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Acompañamiento a casos específicos en fiscalías estatales (Basel)</w:t>
      </w:r>
    </w:p>
    <w:p w14:paraId="251C2600" w14:textId="77777777" w:rsidR="008F16B3" w:rsidRPr="008F16B3" w:rsidRDefault="008F16B3" w:rsidP="008F16B3">
      <w:pPr>
        <w:numPr>
          <w:ilvl w:val="0"/>
          <w:numId w:val="10"/>
        </w:numPr>
        <w:spacing w:before="100" w:beforeAutospacing="1" w:after="100" w:afterAutospacing="1" w:line="240" w:lineRule="auto"/>
        <w:jc w:val="both"/>
        <w:rPr>
          <w:rFonts w:ascii="Arial" w:eastAsia="Times New Roman" w:hAnsi="Arial" w:cs="Arial"/>
          <w:kern w:val="0"/>
          <w:lang w:val="en-BR"/>
          <w14:ligatures w14:val="none"/>
        </w:rPr>
      </w:pPr>
      <w:r w:rsidRPr="008F16B3">
        <w:rPr>
          <w:rFonts w:ascii="Arial" w:eastAsia="Times New Roman" w:hAnsi="Arial" w:cs="Arial"/>
          <w:kern w:val="0"/>
          <w:lang w:val="en-BR"/>
          <w14:ligatures w14:val="none"/>
        </w:rPr>
        <w:t>Capacitación para la UIF y otras instancias federales (PADF)</w:t>
      </w:r>
    </w:p>
    <w:p w14:paraId="43EA9BDA" w14:textId="77777777" w:rsidR="008F16B3" w:rsidRPr="008F16B3" w:rsidRDefault="00C20F0E" w:rsidP="008F16B3">
      <w:pPr>
        <w:spacing w:after="0" w:line="240" w:lineRule="auto"/>
        <w:jc w:val="both"/>
        <w:rPr>
          <w:rFonts w:ascii="Arial" w:eastAsia="Times New Roman" w:hAnsi="Arial" w:cs="Arial"/>
          <w:kern w:val="0"/>
          <w:lang w:val="en-BR"/>
          <w14:ligatures w14:val="none"/>
        </w:rPr>
      </w:pPr>
      <w:r w:rsidRPr="00C20F0E">
        <w:rPr>
          <w:rFonts w:ascii="Arial" w:eastAsia="Times New Roman" w:hAnsi="Arial" w:cs="Arial"/>
          <w:noProof/>
          <w:kern w:val="0"/>
          <w:lang w:val="en-BR"/>
        </w:rPr>
        <w:pict w14:anchorId="4693D5E3">
          <v:rect id="_x0000_i1025" alt="" style="width:441.8pt;height:.05pt;mso-width-percent:0;mso-height-percent:0;mso-width-percent:0;mso-height-percent:0" o:hrpct="944" o:hralign="center" o:hrstd="t" o:hr="t" fillcolor="#a0a0a0" stroked="f"/>
        </w:pict>
      </w:r>
    </w:p>
    <w:p w14:paraId="1F774E8D" w14:textId="77777777" w:rsidR="008F16B3" w:rsidRPr="008F16B3" w:rsidRDefault="008F16B3" w:rsidP="008F16B3">
      <w:pPr>
        <w:jc w:val="both"/>
        <w:rPr>
          <w:rFonts w:ascii="Arial" w:hAnsi="Arial" w:cs="Arial"/>
          <w:lang w:val="en-BR"/>
        </w:rPr>
      </w:pPr>
    </w:p>
    <w:sectPr w:rsidR="008F16B3" w:rsidRPr="008F16B3">
      <w:footerReference w:type="even"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7726" w14:textId="77777777" w:rsidR="00C20F0E" w:rsidRDefault="00C20F0E" w:rsidP="00B82BF1">
      <w:pPr>
        <w:spacing w:after="0" w:line="240" w:lineRule="auto"/>
      </w:pPr>
      <w:r>
        <w:separator/>
      </w:r>
    </w:p>
  </w:endnote>
  <w:endnote w:type="continuationSeparator" w:id="0">
    <w:p w14:paraId="6E1C0150" w14:textId="77777777" w:rsidR="00C20F0E" w:rsidRDefault="00C20F0E" w:rsidP="00B82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467066"/>
      <w:docPartObj>
        <w:docPartGallery w:val="Page Numbers (Bottom of Page)"/>
        <w:docPartUnique/>
      </w:docPartObj>
    </w:sdtPr>
    <w:sdtContent>
      <w:p w14:paraId="6B652B47" w14:textId="0CAA8814" w:rsidR="00B82BF1" w:rsidRDefault="00B82BF1" w:rsidP="008523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CBAAD3" w14:textId="77777777" w:rsidR="00B82BF1" w:rsidRDefault="00B82BF1" w:rsidP="00B82B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8940956"/>
      <w:docPartObj>
        <w:docPartGallery w:val="Page Numbers (Bottom of Page)"/>
        <w:docPartUnique/>
      </w:docPartObj>
    </w:sdtPr>
    <w:sdtContent>
      <w:p w14:paraId="1642FF56" w14:textId="6E822128" w:rsidR="00B82BF1" w:rsidRDefault="00B82BF1" w:rsidP="008523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DE9691" w14:textId="77777777" w:rsidR="00B82BF1" w:rsidRDefault="00B82BF1" w:rsidP="00B82B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D56AA" w14:textId="77777777" w:rsidR="00C20F0E" w:rsidRDefault="00C20F0E" w:rsidP="00B82BF1">
      <w:pPr>
        <w:spacing w:after="0" w:line="240" w:lineRule="auto"/>
      </w:pPr>
      <w:r>
        <w:separator/>
      </w:r>
    </w:p>
  </w:footnote>
  <w:footnote w:type="continuationSeparator" w:id="0">
    <w:p w14:paraId="7CEC44E1" w14:textId="77777777" w:rsidR="00C20F0E" w:rsidRDefault="00C20F0E" w:rsidP="00B82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FB2"/>
    <w:multiLevelType w:val="multilevel"/>
    <w:tmpl w:val="092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3E9E"/>
    <w:multiLevelType w:val="multilevel"/>
    <w:tmpl w:val="F93E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3251E"/>
    <w:multiLevelType w:val="multilevel"/>
    <w:tmpl w:val="3842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B73D6"/>
    <w:multiLevelType w:val="multilevel"/>
    <w:tmpl w:val="72B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75176"/>
    <w:multiLevelType w:val="multilevel"/>
    <w:tmpl w:val="C2B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908E4"/>
    <w:multiLevelType w:val="multilevel"/>
    <w:tmpl w:val="95E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023CF"/>
    <w:multiLevelType w:val="multilevel"/>
    <w:tmpl w:val="FB7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E020B"/>
    <w:multiLevelType w:val="multilevel"/>
    <w:tmpl w:val="253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A1EFB"/>
    <w:multiLevelType w:val="multilevel"/>
    <w:tmpl w:val="90CC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D4349"/>
    <w:multiLevelType w:val="multilevel"/>
    <w:tmpl w:val="326A52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F4F5E42"/>
    <w:multiLevelType w:val="multilevel"/>
    <w:tmpl w:val="C27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788341">
    <w:abstractNumId w:val="1"/>
  </w:num>
  <w:num w:numId="2" w16cid:durableId="1454402783">
    <w:abstractNumId w:val="9"/>
  </w:num>
  <w:num w:numId="3" w16cid:durableId="2109541015">
    <w:abstractNumId w:val="0"/>
  </w:num>
  <w:num w:numId="4" w16cid:durableId="1780029436">
    <w:abstractNumId w:val="10"/>
  </w:num>
  <w:num w:numId="5" w16cid:durableId="175652364">
    <w:abstractNumId w:val="4"/>
  </w:num>
  <w:num w:numId="6" w16cid:durableId="1052728965">
    <w:abstractNumId w:val="2"/>
  </w:num>
  <w:num w:numId="7" w16cid:durableId="1857693037">
    <w:abstractNumId w:val="8"/>
  </w:num>
  <w:num w:numId="8" w16cid:durableId="266471913">
    <w:abstractNumId w:val="7"/>
  </w:num>
  <w:num w:numId="9" w16cid:durableId="1926037861">
    <w:abstractNumId w:val="5"/>
  </w:num>
  <w:num w:numId="10" w16cid:durableId="894464163">
    <w:abstractNumId w:val="3"/>
  </w:num>
  <w:num w:numId="11" w16cid:durableId="9890198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F1"/>
    <w:rsid w:val="000E010C"/>
    <w:rsid w:val="002714CA"/>
    <w:rsid w:val="003D6CEB"/>
    <w:rsid w:val="00680E3D"/>
    <w:rsid w:val="00841B3F"/>
    <w:rsid w:val="008F16B3"/>
    <w:rsid w:val="00B82BF1"/>
    <w:rsid w:val="00BB1AD3"/>
    <w:rsid w:val="00C20F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CD5B"/>
  <w15:chartTrackingRefBased/>
  <w15:docId w15:val="{9D73C00F-CAD6-9D47-AE22-06C79112A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2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2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F1"/>
    <w:rPr>
      <w:rFonts w:eastAsiaTheme="majorEastAsia" w:cstheme="majorBidi"/>
      <w:color w:val="272727" w:themeColor="text1" w:themeTint="D8"/>
    </w:rPr>
  </w:style>
  <w:style w:type="paragraph" w:styleId="Title">
    <w:name w:val="Title"/>
    <w:basedOn w:val="Normal"/>
    <w:next w:val="Normal"/>
    <w:link w:val="TitleChar"/>
    <w:uiPriority w:val="10"/>
    <w:qFormat/>
    <w:rsid w:val="00B82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F1"/>
    <w:pPr>
      <w:spacing w:before="160"/>
      <w:jc w:val="center"/>
    </w:pPr>
    <w:rPr>
      <w:i/>
      <w:iCs/>
      <w:color w:val="404040" w:themeColor="text1" w:themeTint="BF"/>
    </w:rPr>
  </w:style>
  <w:style w:type="character" w:customStyle="1" w:styleId="QuoteChar">
    <w:name w:val="Quote Char"/>
    <w:basedOn w:val="DefaultParagraphFont"/>
    <w:link w:val="Quote"/>
    <w:uiPriority w:val="29"/>
    <w:rsid w:val="00B82BF1"/>
    <w:rPr>
      <w:i/>
      <w:iCs/>
      <w:color w:val="404040" w:themeColor="text1" w:themeTint="BF"/>
    </w:rPr>
  </w:style>
  <w:style w:type="paragraph" w:styleId="ListParagraph">
    <w:name w:val="List Paragraph"/>
    <w:basedOn w:val="Normal"/>
    <w:uiPriority w:val="34"/>
    <w:qFormat/>
    <w:rsid w:val="00B82BF1"/>
    <w:pPr>
      <w:ind w:left="720"/>
      <w:contextualSpacing/>
    </w:pPr>
  </w:style>
  <w:style w:type="character" w:styleId="IntenseEmphasis">
    <w:name w:val="Intense Emphasis"/>
    <w:basedOn w:val="DefaultParagraphFont"/>
    <w:uiPriority w:val="21"/>
    <w:qFormat/>
    <w:rsid w:val="00B82BF1"/>
    <w:rPr>
      <w:i/>
      <w:iCs/>
      <w:color w:val="0F4761" w:themeColor="accent1" w:themeShade="BF"/>
    </w:rPr>
  </w:style>
  <w:style w:type="paragraph" w:styleId="IntenseQuote">
    <w:name w:val="Intense Quote"/>
    <w:basedOn w:val="Normal"/>
    <w:next w:val="Normal"/>
    <w:link w:val="IntenseQuoteChar"/>
    <w:uiPriority w:val="30"/>
    <w:qFormat/>
    <w:rsid w:val="00B82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BF1"/>
    <w:rPr>
      <w:i/>
      <w:iCs/>
      <w:color w:val="0F4761" w:themeColor="accent1" w:themeShade="BF"/>
    </w:rPr>
  </w:style>
  <w:style w:type="character" w:styleId="IntenseReference">
    <w:name w:val="Intense Reference"/>
    <w:basedOn w:val="DefaultParagraphFont"/>
    <w:uiPriority w:val="32"/>
    <w:qFormat/>
    <w:rsid w:val="00B82BF1"/>
    <w:rPr>
      <w:b/>
      <w:bCs/>
      <w:smallCaps/>
      <w:color w:val="0F4761" w:themeColor="accent1" w:themeShade="BF"/>
      <w:spacing w:val="5"/>
    </w:rPr>
  </w:style>
  <w:style w:type="paragraph" w:styleId="Footer">
    <w:name w:val="footer"/>
    <w:basedOn w:val="Normal"/>
    <w:link w:val="FooterChar"/>
    <w:uiPriority w:val="99"/>
    <w:unhideWhenUsed/>
    <w:rsid w:val="00B82B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82BF1"/>
  </w:style>
  <w:style w:type="character" w:styleId="PageNumber">
    <w:name w:val="page number"/>
    <w:basedOn w:val="DefaultParagraphFont"/>
    <w:uiPriority w:val="99"/>
    <w:semiHidden/>
    <w:unhideWhenUsed/>
    <w:rsid w:val="00B82BF1"/>
  </w:style>
  <w:style w:type="paragraph" w:styleId="NormalWeb">
    <w:name w:val="Normal (Web)"/>
    <w:basedOn w:val="Normal"/>
    <w:uiPriority w:val="99"/>
    <w:semiHidden/>
    <w:unhideWhenUsed/>
    <w:rsid w:val="008F16B3"/>
    <w:pPr>
      <w:spacing w:before="100" w:beforeAutospacing="1" w:after="100" w:afterAutospacing="1" w:line="240" w:lineRule="auto"/>
    </w:pPr>
    <w:rPr>
      <w:rFonts w:ascii="Times New Roman" w:eastAsia="Times New Roman" w:hAnsi="Times New Roman" w:cs="Times New Roman"/>
      <w:kern w:val="0"/>
      <w:lang w:val="en-BR"/>
      <w14:ligatures w14:val="none"/>
    </w:rPr>
  </w:style>
  <w:style w:type="character" w:styleId="Strong">
    <w:name w:val="Strong"/>
    <w:basedOn w:val="DefaultParagraphFont"/>
    <w:uiPriority w:val="22"/>
    <w:qFormat/>
    <w:rsid w:val="008F1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1529</Words>
  <Characters>8063</Characters>
  <Application>Microsoft Office Word</Application>
  <DocSecurity>0</DocSecurity>
  <Lines>161</Lines>
  <Paragraphs>91</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Novoa</dc:creator>
  <cp:keywords/>
  <dc:description/>
  <cp:lastModifiedBy>Mark Willcock</cp:lastModifiedBy>
  <cp:revision>2</cp:revision>
  <dcterms:created xsi:type="dcterms:W3CDTF">2026-03-25T16:21:00Z</dcterms:created>
  <dcterms:modified xsi:type="dcterms:W3CDTF">2026-03-25T16:21:00Z</dcterms:modified>
</cp:coreProperties>
</file>