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sz w:val="28"/>
        </w:rPr>
        <w:t>Opening Statement</w:t>
      </w:r>
    </w:p>
    <w:p>
      <w:r>
        <w:rPr>
          <w:rFonts w:ascii="Calibri" w:hAnsi="Calibri"/>
          <w:b w:val="0"/>
          <w:sz w:val="22"/>
        </w:rPr>
        <w:t>**GovRisk Capability Statement: Western Hemisphere Counterterrorism Legal and Financial Disruption Program**</w:t>
      </w:r>
    </w:p>
    <w:p>
      <w:r>
        <w:rPr>
          <w:rFonts w:ascii="Calibri" w:hAnsi="Calibri"/>
          <w:b w:val="0"/>
          <w:sz w:val="22"/>
        </w:rPr>
        <w:t>GovRisk is an independent UK-based consultancy with demonstrated expertise in counterterrorism financing, anti-money laundering, financial intelligence, and prosecutorial capacity building across Latin America and the Caribbean. Since 2013, GovRisk has delivered specialized technical assistance to degrade terrorist financing networks, strengthen AML/CFT frameworks aligned with FATF standards, and build sustainable investigative and prosecutorial capacity in high-risk jurisdictions. Our work has directly supported the disruption of designated terrorist organizations including Hizballah in the Tri-Border Area, enhanced multi-agency coordination among law enforcement, prosecutors, financial intelligence units, and judiciaries, and institutionalized train-the-trainer approaches that ensure long-term sustainability beyond program completion.</w:t>
      </w:r>
    </w:p>
    <w:p>
      <w:r>
        <w:rPr>
          <w:rFonts w:ascii="Calibri" w:hAnsi="Calibri"/>
          <w:b w:val="0"/>
          <w:sz w:val="22"/>
        </w:rPr>
        <w:t>GovRisk brings direct experience implementing U.S. Department of State Bureau of Counterterrorism-funded programs designed to degrade and disrupt the financing of terrorist organizations while strengthening regulatory, supervisory, investigative, and prosecutorial capacity across multiple South American jurisdictions. Our technical team has designed and delivered training platforms for investigators, prosecutors, and judges focused on financial disruption of Foreign Terrorist Organizations, supported implementation of targeted financial sanctions regimes aligned with UN Security Council Resolutions, and provided technical assistance for terrorist designations in line with international standards.</w:t>
      </w:r>
    </w:p>
    <w:p>
      <w:r>
        <w:rPr>
          <w:rFonts w:ascii="Calibri" w:hAnsi="Calibri"/>
          <w:b/>
          <w:sz w:val="28"/>
        </w:rPr>
        <w:t>Institutional Overview</w:t>
      </w:r>
    </w:p>
    <w:p>
      <w:r>
        <w:rPr>
          <w:rFonts w:ascii="Calibri" w:hAnsi="Calibri"/>
          <w:b w:val="0"/>
          <w:sz w:val="22"/>
        </w:rPr>
        <w:t>**Institutional Overview**</w:t>
      </w:r>
    </w:p>
    <w:p>
      <w:r>
        <w:rPr>
          <w:rFonts w:ascii="Calibri" w:hAnsi="Calibri"/>
          <w:b w:val="0"/>
          <w:sz w:val="22"/>
        </w:rPr>
        <w:t>GovRisk is an independent UK-based consultancy specializing in financial crime prevention, anti-corruption, justice reform, and governance across more than 55 countries on five continents. Over the past 12 years, GovRisk has successfully delivered over 100 projects for sovereign governments, international bodies, multilateral organizations, and bilateral donors including the U.S. Department of State, UK Foreign Commonwealth and Development Office, Inter-American Development Bank, and World Bank.</w:t>
      </w:r>
    </w:p>
    <w:p>
      <w:r>
        <w:rPr>
          <w:rFonts w:ascii="Calibri" w:hAnsi="Calibri"/>
          <w:b w:val="0"/>
          <w:sz w:val="22"/>
        </w:rPr>
        <w:t>GovRisk's technical expertise encompasses the full spectrum of AML/CFT programming: legal and regulatory framework development, risk-based supervision of financial and non-financial sectors, financial intelligence analysis, complex financial investigations, asset tracing and recovery, prosecutorial case preparation, judicial training, multi-agency coordination mechanisms, and mutual legal assistance. The firm's approach emphasizes institutional adoption of international best practices aligned with FATF recommendations, the Egmont Group principles, and UN conventions against transnational organized crime and corruption.</w:t>
      </w:r>
    </w:p>
    <w:p>
      <w:r>
        <w:rPr>
          <w:rFonts w:ascii="Calibri" w:hAnsi="Calibri"/>
          <w:b w:val="0"/>
          <w:sz w:val="22"/>
        </w:rPr>
        <w:t>GovRisk's delivery model combines strategic advisory support, technical capacity building, and mentoring to achieve measurable institutional change. The firm deploys senior practitioners with operational law enforcement, prosecutorial, financial intelligence, and regulatory backgrounds to deliver training grounded in real-case scenarios and practical investigative techniques. GovRisk has established a proven track record of designing train-the-trainer curricula that create cadres of national instructors capable of sustaining capacity beyond program timelines, ensuring long-term institutional ownership and continuity.</w:t>
      </w:r>
    </w:p>
    <w:p>
      <w:r>
        <w:rPr>
          <w:rFonts w:ascii="Calibri" w:hAnsi="Calibri"/>
          <w:b/>
          <w:sz w:val="28"/>
        </w:rPr>
        <w:t>Country Experience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Calibri" w:hAnsi="Calibri"/>
                <w:b/>
              </w:rPr>
              <w:t>Country</w:t>
            </w:r>
          </w:p>
        </w:tc>
        <w:tc>
          <w:tcPr>
            <w:tcW w:type="dxa" w:w="1881"/>
          </w:tcPr>
          <w:p>
            <w:r>
              <w:rPr>
                <w:rFonts w:ascii="Calibri" w:hAnsi="Calibri"/>
                <w:b/>
              </w:rPr>
              <w:t>Projects</w:t>
            </w:r>
          </w:p>
        </w:tc>
        <w:tc>
          <w:tcPr>
            <w:tcW w:type="dxa" w:w="1881"/>
          </w:tcPr>
          <w:p>
            <w:r>
              <w:rPr>
                <w:rFonts w:ascii="Calibri" w:hAnsi="Calibri"/>
                <w:b/>
              </w:rPr>
              <w:t>Years</w:t>
            </w:r>
          </w:p>
        </w:tc>
        <w:tc>
          <w:tcPr>
            <w:tcW w:type="dxa" w:w="1881"/>
          </w:tcPr>
          <w:p>
            <w:r>
              <w:rPr>
                <w:rFonts w:ascii="Calibri" w:hAnsi="Calibri"/>
                <w:b/>
              </w:rPr>
              <w:t>Named Identifiers</w:t>
            </w:r>
          </w:p>
        </w:tc>
        <w:tc>
          <w:tcPr>
            <w:tcW w:type="dxa" w:w="1881"/>
          </w:tcPr>
          <w:p>
            <w:r>
              <w:rPr>
                <w:rFonts w:ascii="Calibri" w:hAnsi="Calibri"/>
                <w:b/>
              </w:rPr>
              <w:t>Donors</w:t>
            </w:r>
          </w:p>
        </w:tc>
      </w:tr>
      <w:tr>
        <w:tc>
          <w:tcPr>
            <w:tcW w:type="dxa" w:w="1881"/>
          </w:tcPr>
          <w:p>
            <w:r>
              <w:rPr>
                <w:rFonts w:ascii="Calibri" w:hAnsi="Calibri"/>
                <w:sz w:val="22"/>
              </w:rPr>
              <w:t>Mexico</w:t>
            </w:r>
          </w:p>
        </w:tc>
        <w:tc>
          <w:tcPr>
            <w:tcW w:type="dxa" w:w="1881"/>
          </w:tcPr>
          <w:p>
            <w:r>
              <w:rPr>
                <w:rFonts w:ascii="Calibri" w:hAnsi="Calibri"/>
                <w:sz w:val="22"/>
              </w:rPr>
              <w:t>4</w:t>
            </w:r>
          </w:p>
        </w:tc>
        <w:tc>
          <w:tcPr>
            <w:tcW w:type="dxa" w:w="1881"/>
          </w:tcPr>
          <w:p>
            <w:r>
              <w:rPr>
                <w:rFonts w:ascii="Calibri" w:hAnsi="Calibri"/>
                <w:sz w:val="22"/>
              </w:rPr>
              <w:t>2013-2026</w:t>
            </w:r>
          </w:p>
        </w:tc>
        <w:tc>
          <w:tcPr>
            <w:tcW w:type="dxa" w:w="1881"/>
          </w:tcPr>
          <w:p>
            <w:r>
              <w:rPr>
                <w:rFonts w:ascii="Calibri" w:hAnsi="Calibri"/>
                <w:sz w:val="22"/>
              </w:rPr>
              <w:t>INL/PECEL Enhancing professionalization and intelligence capabilities of personnel combating Money Laundering Operations, Anti-Corruption and Rule of Law (ACROL) Programme, Strategy and Capacity Building for improved criminal investigation models, Supervision of DNFBPs for AML/CFT Compliance</w:t>
            </w:r>
          </w:p>
        </w:tc>
        <w:tc>
          <w:tcPr>
            <w:tcW w:type="dxa" w:w="1881"/>
          </w:tcPr>
          <w:p>
            <w:r>
              <w:rPr>
                <w:rFonts w:ascii="Calibri" w:hAnsi="Calibri"/>
                <w:sz w:val="22"/>
              </w:rPr>
              <w:t>U.S. Department of State (INL), UK Foreign Commonwealth and Development Office (FCDO)</w:t>
            </w:r>
          </w:p>
        </w:tc>
      </w:tr>
      <w:tr>
        <w:tc>
          <w:tcPr>
            <w:tcW w:type="dxa" w:w="1881"/>
          </w:tcPr>
          <w:p>
            <w:r>
              <w:rPr>
                <w:rFonts w:ascii="Calibri" w:hAnsi="Calibri"/>
                <w:sz w:val="22"/>
              </w:rPr>
              <w:t>Argentina</w:t>
            </w:r>
          </w:p>
        </w:tc>
        <w:tc>
          <w:tcPr>
            <w:tcW w:type="dxa" w:w="1881"/>
          </w:tcPr>
          <w:p>
            <w:r>
              <w:rPr>
                <w:rFonts w:ascii="Calibri" w:hAnsi="Calibri"/>
                <w:sz w:val="22"/>
              </w:rPr>
              <w:t>1</w:t>
            </w:r>
          </w:p>
        </w:tc>
        <w:tc>
          <w:tcPr>
            <w:tcW w:type="dxa" w:w="1881"/>
          </w:tcPr>
          <w:p>
            <w:r>
              <w:rPr>
                <w:rFonts w:ascii="Calibri" w:hAnsi="Calibri"/>
                <w:sz w:val="22"/>
              </w:rPr>
              <w:t>2021-2025</w:t>
            </w:r>
          </w:p>
        </w:tc>
        <w:tc>
          <w:tcPr>
            <w:tcW w:type="dxa" w:w="1881"/>
          </w:tcPr>
          <w:p>
            <w:r>
              <w:rPr>
                <w:rFonts w:ascii="Calibri" w:hAnsi="Calibri"/>
                <w:sz w:val="22"/>
              </w:rPr>
              <w:t>Countering the Financing of Terrorism in South America</w:t>
            </w:r>
          </w:p>
        </w:tc>
        <w:tc>
          <w:tcPr>
            <w:tcW w:type="dxa" w:w="1881"/>
          </w:tcPr>
          <w:p>
            <w:r>
              <w:rPr>
                <w:rFonts w:ascii="Calibri" w:hAnsi="Calibri"/>
                <w:sz w:val="22"/>
              </w:rPr>
              <w:t>U.S. Department of State</w:t>
            </w:r>
          </w:p>
        </w:tc>
      </w:tr>
      <w:tr>
        <w:tc>
          <w:tcPr>
            <w:tcW w:type="dxa" w:w="1881"/>
          </w:tcPr>
          <w:p>
            <w:r>
              <w:rPr>
                <w:rFonts w:ascii="Calibri" w:hAnsi="Calibri"/>
                <w:sz w:val="22"/>
              </w:rPr>
              <w:t>Brazil</w:t>
            </w:r>
          </w:p>
        </w:tc>
        <w:tc>
          <w:tcPr>
            <w:tcW w:type="dxa" w:w="1881"/>
          </w:tcPr>
          <w:p>
            <w:r>
              <w:rPr>
                <w:rFonts w:ascii="Calibri" w:hAnsi="Calibri"/>
                <w:sz w:val="22"/>
              </w:rPr>
              <w:t>2</w:t>
            </w:r>
          </w:p>
        </w:tc>
        <w:tc>
          <w:tcPr>
            <w:tcW w:type="dxa" w:w="1881"/>
          </w:tcPr>
          <w:p>
            <w:r>
              <w:rPr>
                <w:rFonts w:ascii="Calibri" w:hAnsi="Calibri"/>
                <w:sz w:val="22"/>
              </w:rPr>
              <w:t>2016-2025</w:t>
            </w:r>
          </w:p>
        </w:tc>
        <w:tc>
          <w:tcPr>
            <w:tcW w:type="dxa" w:w="1881"/>
          </w:tcPr>
          <w:p>
            <w:r>
              <w:rPr>
                <w:rFonts w:ascii="Calibri" w:hAnsi="Calibri"/>
                <w:sz w:val="22"/>
              </w:rPr>
              <w:t>Countering the Financing of Terrorism in South America, Justice Management Reform Model</w:t>
            </w:r>
          </w:p>
        </w:tc>
        <w:tc>
          <w:tcPr>
            <w:tcW w:type="dxa" w:w="1881"/>
          </w:tcPr>
          <w:p>
            <w:r>
              <w:rPr>
                <w:rFonts w:ascii="Calibri" w:hAnsi="Calibri"/>
                <w:sz w:val="22"/>
              </w:rPr>
              <w:t>U.S. Department of State, Donor unspecified</w:t>
            </w:r>
          </w:p>
        </w:tc>
      </w:tr>
      <w:tr>
        <w:tc>
          <w:tcPr>
            <w:tcW w:type="dxa" w:w="1881"/>
          </w:tcPr>
          <w:p>
            <w:r>
              <w:rPr>
                <w:rFonts w:ascii="Calibri" w:hAnsi="Calibri"/>
                <w:sz w:val="22"/>
              </w:rPr>
              <w:t>Paraguay</w:t>
            </w:r>
          </w:p>
        </w:tc>
        <w:tc>
          <w:tcPr>
            <w:tcW w:type="dxa" w:w="1881"/>
          </w:tcPr>
          <w:p>
            <w:r>
              <w:rPr>
                <w:rFonts w:ascii="Calibri" w:hAnsi="Calibri"/>
                <w:sz w:val="22"/>
              </w:rPr>
              <w:t>2</w:t>
            </w:r>
          </w:p>
        </w:tc>
        <w:tc>
          <w:tcPr>
            <w:tcW w:type="dxa" w:w="1881"/>
          </w:tcPr>
          <w:p>
            <w:r>
              <w:rPr>
                <w:rFonts w:ascii="Calibri" w:hAnsi="Calibri"/>
                <w:sz w:val="22"/>
              </w:rPr>
              <w:t>2016-2025</w:t>
            </w:r>
          </w:p>
        </w:tc>
        <w:tc>
          <w:tcPr>
            <w:tcW w:type="dxa" w:w="1881"/>
          </w:tcPr>
          <w:p>
            <w:r>
              <w:rPr>
                <w:rFonts w:ascii="Calibri" w:hAnsi="Calibri"/>
                <w:sz w:val="22"/>
              </w:rPr>
              <w:t>Countering the Financing of Terrorism in South America, Strategy and capacity building for Prevention of Money Laundering (SEPRELAD)</w:t>
            </w:r>
          </w:p>
        </w:tc>
        <w:tc>
          <w:tcPr>
            <w:tcW w:type="dxa" w:w="1881"/>
          </w:tcPr>
          <w:p>
            <w:r>
              <w:rPr>
                <w:rFonts w:ascii="Calibri" w:hAnsi="Calibri"/>
                <w:sz w:val="22"/>
              </w:rPr>
              <w:t>U.S. Department of State, Donor unspecified</w:t>
            </w:r>
          </w:p>
        </w:tc>
      </w:tr>
      <w:tr>
        <w:tc>
          <w:tcPr>
            <w:tcW w:type="dxa" w:w="1881"/>
          </w:tcPr>
          <w:p>
            <w:r>
              <w:rPr>
                <w:rFonts w:ascii="Calibri" w:hAnsi="Calibri"/>
                <w:sz w:val="22"/>
              </w:rPr>
              <w:t>Colombia</w:t>
            </w:r>
          </w:p>
        </w:tc>
        <w:tc>
          <w:tcPr>
            <w:tcW w:type="dxa" w:w="1881"/>
          </w:tcPr>
          <w:p>
            <w:r>
              <w:rPr>
                <w:rFonts w:ascii="Calibri" w:hAnsi="Calibri"/>
                <w:sz w:val="22"/>
              </w:rPr>
              <w:t>1</w:t>
            </w:r>
          </w:p>
        </w:tc>
        <w:tc>
          <w:tcPr>
            <w:tcW w:type="dxa" w:w="1881"/>
          </w:tcPr>
          <w:p>
            <w:r>
              <w:rPr>
                <w:rFonts w:ascii="Calibri" w:hAnsi="Calibri"/>
                <w:sz w:val="22"/>
              </w:rPr>
              <w:t>2023-2024</w:t>
            </w:r>
          </w:p>
        </w:tc>
        <w:tc>
          <w:tcPr>
            <w:tcW w:type="dxa" w:w="1881"/>
          </w:tcPr>
          <w:p>
            <w:r>
              <w:rPr>
                <w:rFonts w:ascii="Calibri" w:hAnsi="Calibri"/>
                <w:sz w:val="22"/>
              </w:rPr>
              <w:t>Tackling Illicit Financial Flows (TIFF)</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Ecuador</w:t>
            </w:r>
          </w:p>
        </w:tc>
        <w:tc>
          <w:tcPr>
            <w:tcW w:type="dxa" w:w="1881"/>
          </w:tcPr>
          <w:p>
            <w:r>
              <w:rPr>
                <w:rFonts w:ascii="Calibri" w:hAnsi="Calibri"/>
                <w:sz w:val="22"/>
              </w:rPr>
              <w:t>1</w:t>
            </w:r>
          </w:p>
        </w:tc>
        <w:tc>
          <w:tcPr>
            <w:tcW w:type="dxa" w:w="1881"/>
          </w:tcPr>
          <w:p>
            <w:r>
              <w:rPr>
                <w:rFonts w:ascii="Calibri" w:hAnsi="Calibri"/>
                <w:sz w:val="22"/>
              </w:rPr>
              <w:t>2023-2024</w:t>
            </w:r>
          </w:p>
        </w:tc>
        <w:tc>
          <w:tcPr>
            <w:tcW w:type="dxa" w:w="1881"/>
          </w:tcPr>
          <w:p>
            <w:r>
              <w:rPr>
                <w:rFonts w:ascii="Calibri" w:hAnsi="Calibri"/>
                <w:sz w:val="22"/>
              </w:rPr>
              <w:t>Tackling Illicit Financial Flows (TIFF)</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Peru</w:t>
            </w:r>
          </w:p>
        </w:tc>
        <w:tc>
          <w:tcPr>
            <w:tcW w:type="dxa" w:w="1881"/>
          </w:tcPr>
          <w:p>
            <w:r>
              <w:rPr>
                <w:rFonts w:ascii="Calibri" w:hAnsi="Calibri"/>
                <w:sz w:val="22"/>
              </w:rPr>
              <w:t>1</w:t>
            </w:r>
          </w:p>
        </w:tc>
        <w:tc>
          <w:tcPr>
            <w:tcW w:type="dxa" w:w="1881"/>
          </w:tcPr>
          <w:p>
            <w:r>
              <w:rPr>
                <w:rFonts w:ascii="Calibri" w:hAnsi="Calibri"/>
                <w:sz w:val="22"/>
              </w:rPr>
              <w:t>2023-2024</w:t>
            </w:r>
          </w:p>
        </w:tc>
        <w:tc>
          <w:tcPr>
            <w:tcW w:type="dxa" w:w="1881"/>
          </w:tcPr>
          <w:p>
            <w:r>
              <w:rPr>
                <w:rFonts w:ascii="Calibri" w:hAnsi="Calibri"/>
                <w:sz w:val="22"/>
              </w:rPr>
              <w:t>Tackling Illicit Financial Flows (TIFF)</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Panama</w:t>
            </w:r>
          </w:p>
        </w:tc>
        <w:tc>
          <w:tcPr>
            <w:tcW w:type="dxa" w:w="1881"/>
          </w:tcPr>
          <w:p>
            <w:r>
              <w:rPr>
                <w:rFonts w:ascii="Calibri" w:hAnsi="Calibri"/>
                <w:sz w:val="22"/>
              </w:rPr>
              <w:t>2</w:t>
            </w:r>
          </w:p>
        </w:tc>
        <w:tc>
          <w:tcPr>
            <w:tcW w:type="dxa" w:w="1881"/>
          </w:tcPr>
          <w:p>
            <w:r>
              <w:rPr>
                <w:rFonts w:ascii="Calibri" w:hAnsi="Calibri"/>
                <w:sz w:val="22"/>
              </w:rPr>
              <w:t>2018-2024</w:t>
            </w:r>
          </w:p>
        </w:tc>
        <w:tc>
          <w:tcPr>
            <w:tcW w:type="dxa" w:w="1881"/>
          </w:tcPr>
          <w:p>
            <w:r>
              <w:rPr>
                <w:rFonts w:ascii="Calibri" w:hAnsi="Calibri"/>
                <w:sz w:val="22"/>
              </w:rPr>
              <w:t>Tackling Illicit Financial Flows (TIFF), Scoping study on Serious Organised Crime</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Guatemala</w:t>
            </w:r>
          </w:p>
        </w:tc>
        <w:tc>
          <w:tcPr>
            <w:tcW w:type="dxa" w:w="1881"/>
          </w:tcPr>
          <w:p>
            <w:r>
              <w:rPr>
                <w:rFonts w:ascii="Calibri" w:hAnsi="Calibri"/>
                <w:sz w:val="22"/>
              </w:rPr>
              <w:t>2</w:t>
            </w:r>
          </w:p>
        </w:tc>
        <w:tc>
          <w:tcPr>
            <w:tcW w:type="dxa" w:w="1881"/>
          </w:tcPr>
          <w:p>
            <w:r>
              <w:rPr>
                <w:rFonts w:ascii="Calibri" w:hAnsi="Calibri"/>
                <w:sz w:val="22"/>
              </w:rPr>
              <w:t>2016-2023</w:t>
            </w:r>
          </w:p>
        </w:tc>
        <w:tc>
          <w:tcPr>
            <w:tcW w:type="dxa" w:w="1881"/>
          </w:tcPr>
          <w:p>
            <w:r>
              <w:rPr>
                <w:rFonts w:ascii="Calibri" w:hAnsi="Calibri"/>
                <w:sz w:val="22"/>
              </w:rPr>
              <w:t>Effective Joint Investigations for Money Laundering, Supervision of DNFBPs for AML/CFT Compliance</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Honduras</w:t>
            </w:r>
          </w:p>
        </w:tc>
        <w:tc>
          <w:tcPr>
            <w:tcW w:type="dxa" w:w="1881"/>
          </w:tcPr>
          <w:p>
            <w:r>
              <w:rPr>
                <w:rFonts w:ascii="Calibri" w:hAnsi="Calibri"/>
                <w:sz w:val="22"/>
              </w:rPr>
              <w:t>1</w:t>
            </w:r>
          </w:p>
        </w:tc>
        <w:tc>
          <w:tcPr>
            <w:tcW w:type="dxa" w:w="1881"/>
          </w:tcPr>
          <w:p>
            <w:r>
              <w:rPr>
                <w:rFonts w:ascii="Calibri" w:hAnsi="Calibri"/>
                <w:sz w:val="22"/>
              </w:rPr>
              <w:t>2020-2023</w:t>
            </w:r>
          </w:p>
        </w:tc>
        <w:tc>
          <w:tcPr>
            <w:tcW w:type="dxa" w:w="1881"/>
          </w:tcPr>
          <w:p>
            <w:r>
              <w:rPr>
                <w:rFonts w:ascii="Calibri" w:hAnsi="Calibri"/>
                <w:sz w:val="22"/>
              </w:rPr>
              <w:t>Effective Joint Investigations for Money Laundering</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El Salvador</w:t>
            </w:r>
          </w:p>
        </w:tc>
        <w:tc>
          <w:tcPr>
            <w:tcW w:type="dxa" w:w="1881"/>
          </w:tcPr>
          <w:p>
            <w:r>
              <w:rPr>
                <w:rFonts w:ascii="Calibri" w:hAnsi="Calibri"/>
                <w:sz w:val="22"/>
              </w:rPr>
              <w:t>1</w:t>
            </w:r>
          </w:p>
        </w:tc>
        <w:tc>
          <w:tcPr>
            <w:tcW w:type="dxa" w:w="1881"/>
          </w:tcPr>
          <w:p>
            <w:r>
              <w:rPr>
                <w:rFonts w:ascii="Calibri" w:hAnsi="Calibri"/>
                <w:sz w:val="22"/>
              </w:rPr>
              <w:t>2020-2023</w:t>
            </w:r>
          </w:p>
        </w:tc>
        <w:tc>
          <w:tcPr>
            <w:tcW w:type="dxa" w:w="1881"/>
          </w:tcPr>
          <w:p>
            <w:r>
              <w:rPr>
                <w:rFonts w:ascii="Calibri" w:hAnsi="Calibri"/>
                <w:sz w:val="22"/>
              </w:rPr>
              <w:t>Effective Joint Investigations for Money Laundering</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Jamaica</w:t>
            </w:r>
          </w:p>
        </w:tc>
        <w:tc>
          <w:tcPr>
            <w:tcW w:type="dxa" w:w="1881"/>
          </w:tcPr>
          <w:p>
            <w:r>
              <w:rPr>
                <w:rFonts w:ascii="Calibri" w:hAnsi="Calibri"/>
                <w:sz w:val="22"/>
              </w:rPr>
              <w:t>1</w:t>
            </w:r>
          </w:p>
        </w:tc>
        <w:tc>
          <w:tcPr>
            <w:tcW w:type="dxa" w:w="1881"/>
          </w:tcPr>
          <w:p>
            <w:r>
              <w:rPr>
                <w:rFonts w:ascii="Calibri" w:hAnsi="Calibri"/>
                <w:sz w:val="22"/>
              </w:rPr>
              <w:t>2022-2024</w:t>
            </w:r>
          </w:p>
        </w:tc>
        <w:tc>
          <w:tcPr>
            <w:tcW w:type="dxa" w:w="1881"/>
          </w:tcPr>
          <w:p>
            <w:r>
              <w:rPr>
                <w:rFonts w:ascii="Calibri" w:hAnsi="Calibri"/>
                <w:sz w:val="22"/>
              </w:rPr>
              <w:t>Investigative Interviewing and Crime Investigation Course</w:t>
            </w:r>
          </w:p>
        </w:tc>
        <w:tc>
          <w:tcPr>
            <w:tcW w:type="dxa" w:w="1881"/>
          </w:tcPr>
          <w:p>
            <w:r>
              <w:rPr>
                <w:rFonts w:ascii="Calibri" w:hAnsi="Calibri"/>
                <w:sz w:val="22"/>
              </w:rPr>
              <w:t>UK Foreign Commonwealth and Development Office (FCDO)</w:t>
            </w:r>
          </w:p>
        </w:tc>
      </w:tr>
      <w:tr>
        <w:tc>
          <w:tcPr>
            <w:tcW w:type="dxa" w:w="1881"/>
          </w:tcPr>
          <w:p>
            <w:r>
              <w:rPr>
                <w:rFonts w:ascii="Calibri" w:hAnsi="Calibri"/>
                <w:sz w:val="22"/>
              </w:rPr>
              <w:t>Trinidad and Tobago</w:t>
            </w:r>
          </w:p>
        </w:tc>
        <w:tc>
          <w:tcPr>
            <w:tcW w:type="dxa" w:w="1881"/>
          </w:tcPr>
          <w:p>
            <w:r>
              <w:rPr>
                <w:rFonts w:ascii="Calibri" w:hAnsi="Calibri"/>
                <w:sz w:val="22"/>
              </w:rPr>
              <w:t>1</w:t>
            </w:r>
          </w:p>
        </w:tc>
        <w:tc>
          <w:tcPr>
            <w:tcW w:type="dxa" w:w="1881"/>
          </w:tcPr>
          <w:p>
            <w:r>
              <w:rPr>
                <w:rFonts w:ascii="Calibri" w:hAnsi="Calibri"/>
                <w:sz w:val="22"/>
              </w:rPr>
              <w:t>2010</w:t>
            </w:r>
          </w:p>
        </w:tc>
        <w:tc>
          <w:tcPr>
            <w:tcW w:type="dxa" w:w="1881"/>
          </w:tcPr>
          <w:p>
            <w:r>
              <w:rPr>
                <w:rFonts w:ascii="Calibri" w:hAnsi="Calibri"/>
                <w:sz w:val="22"/>
              </w:rPr>
              <w:t>Criminal Investigations training</w:t>
            </w:r>
          </w:p>
        </w:tc>
        <w:tc>
          <w:tcPr>
            <w:tcW w:type="dxa" w:w="1881"/>
          </w:tcPr>
          <w:p>
            <w:r>
              <w:rPr>
                <w:rFonts w:ascii="Calibri" w:hAnsi="Calibri"/>
                <w:sz w:val="22"/>
              </w:rPr>
              <w:t>Various</w:t>
            </w:r>
          </w:p>
        </w:tc>
      </w:tr>
    </w:tbl>
    <w:p>
      <w:r>
        <w:rPr>
          <w:rFonts w:ascii="Calibri" w:hAnsi="Calibri"/>
          <w:b/>
          <w:sz w:val="28"/>
        </w:rPr>
        <w:t>Geographic Experience</w:t>
      </w:r>
    </w:p>
    <w:p>
      <w:r>
        <w:rPr>
          <w:rFonts w:ascii="Calibri" w:hAnsi="Calibri"/>
          <w:b w:val="0"/>
          <w:sz w:val="22"/>
        </w:rPr>
        <w:t>**Geographic Experience: Latin America and the Caribbean**</w:t>
      </w:r>
    </w:p>
    <w:p>
      <w:r>
        <w:rPr>
          <w:rFonts w:ascii="Calibri" w:hAnsi="Calibri"/>
          <w:b w:val="0"/>
          <w:sz w:val="22"/>
        </w:rPr>
        <w:t>**Mexico:** GovRisk has delivered four projects in Mexico spanning 2013 to 2026, including three ongoing or recently completed initiatives. As a key subcontractor to the Pan American Development Foundation (PADF), GovRisk is leading implementation of the INL/PECEL project (2024-2026, ongoing) enhancing professionalization and intelligence capabilities of personnel combating money laundering operations across eight Mexican states. This program develops standardized processes for Economic and Asset Intelligence Units and State Financial Intelligence Units (UIPEs), designs training curricula tailored to the Mexican context, and supports legal and regulatory framework reforms. GovRisk delivered the Strategy and Capacity Building project (2021-2022, UK FCDO) supporting public prosecutors in Mexico City, Tabasco, Jalisco, and Chihuahua to adopt improved investigative standards for homicides and embezzlement, strengthening interagency coordination and implementing standardized forensic and case management procedures. As a key subcontractor to PA Consulting, GovRisk implemented the Anti-Corruption and Rule of Law (ACROL) Programme (2018-2021, UK FCDO) establishing clearer investigative processes, scaling specialized training programs, and improving coordination among anti-corruption and rule of law institutions at federal, state, and municipal levels. GovRisk supported Mexico's Financial Intelligence Unit (2013-2014, donor unspecified) to ensure appropriate supervision, monitoring, and regulation of Designated Non-Financial Businesses or Professions (DNFBPs) for AML/CFT compliance.</w:t>
      </w:r>
    </w:p>
    <w:p>
      <w:r>
        <w:rPr>
          <w:rFonts w:ascii="Calibri" w:hAnsi="Calibri"/>
          <w:b w:val="0"/>
          <w:sz w:val="22"/>
        </w:rPr>
        <w:t>**Argentina, Brazil, Paraguay (Tri-Border Area):** GovRisk is a key subcontractor to the American Bar Association implementing the Countering the Financing of Terrorism in South America project (2021-2025, U.S. Department of State) designed to degrade and disrupt the financing of Hizballah and other terrorist groups in the Tri-Border Area. GovRisk assessed opportunities to strengthen public and private sector institutional capacity to combat money laundering and terrorist financing, increased key AML/CFT actors' understanding of best practices and required reforms, and co-developed action plans for key beneficiaries. The program increased local institutional capacity to regulate, supervise, identify, report, investigate, and prosecute money laundering and terrorist financing, strengthened targeted financial sanctions, and promoted enhanced regional collaboration. In Paraguay, GovRisk delivered capacity-building for SEPRELAD on risk-based supervision of financial and non-financial institutions, strengthened the FIU's capacity to receive, process, analyze, and disseminate financial intelligence on money laundering, terrorist financing, and proliferation financing, and created a manual for strategic analysis reporting. GovRisk trained Public Ministry personnel on investigating money laundering and terrorist financing, trained Supreme Court of Justice officials on detection, investigation, and prosecution best practices, and strengthened the system for prevention of money laundering and terrorist financing in DNFBPs supervised by SEPRELAD.    In Brazil, GovRisk implemented the Justice Management Reform Model (2016-2017, donor unspecified) to increase efficiency and performance in the judiciary system management model and implement corruption-fighting mechanisms.</w:t>
      </w:r>
    </w:p>
    <w:p>
      <w:r>
        <w:rPr>
          <w:rFonts w:ascii="Calibri" w:hAnsi="Calibri"/>
          <w:b w:val="0"/>
          <w:sz w:val="22"/>
        </w:rPr>
        <w:t>**Colombia, Ecuador, Peru, Panama:** GovRisk is the subcontractor to DAI Global UK delivering Strategic Institutional Support to Tackle Illicit Financial Flows in Latin America (2023-2024, UK FCDO) strengthening intra-regional collaboration between Financial Investigation Units to share best practices and strengthen the strategy and response against illicit financial flows and corruption. GovRisk developed the 2024 Guide for Joint Strategic and Operational Analysis between FIUs enhancing the capacity of FIUs to conduct joint investigations into money laundering and terrorism financing through bilateral exchanges, multilateral visits, and workshops. The guide provides a structured framework for FIUs to streamline joint investigations, improve operational capabilities, and enhance cooperation aligned with FATF and Egmont Group standards. GovRisk proposed tailored training workshops, on-site consultations, technology support, joint simulation exercises, and creation of a regional network to strengthen collaboration and trust among participating FIUs.   In Panama, GovRisk conducted an in-depth scoping study on Serious Organised Crime (2018-2019, UK FCDO) analyzing threats and institutional weaknesses in money laundering, corruption, and narcotics, assessing strengths in current work, identifying gaps for targeted UK interventions, and offering evidence-based recommendations developed by leading international experts.</w:t>
      </w:r>
    </w:p>
    <w:p>
      <w:r>
        <w:rPr>
          <w:rFonts w:ascii="Calibri" w:hAnsi="Calibri"/>
          <w:b w:val="0"/>
          <w:sz w:val="22"/>
        </w:rPr>
        <w:t>**Guatemala, Honduras, El Salvador:** GovRisk led the Effective Joint Investigations for Money Laundering project (2020-2023, UK FCDO) strengthening cross-border financial crime investigations and preventing illicit funds from entering financial systems by integrating UK and international best practices into the legal and operational design of Joint Investigation Teams (JITs). GovRisk led technical consultations, strategy workshops, and training with Public Prosecutor's Offices and FIUs building understanding and consensus around frameworks and processes needed to establish JITs and fostering political will to advance this agenda. Consultations and strategic sessions clarified resource requirements for JITs, improved legal frameworks including asset-sharing agreements, established a trilateral agreement outlining JIT-specific principles and protocols, enhanced efficiency of Mutual Legal Assistance and information exchange, expanded use of special investigative techniques within JITs, and strengthened prosecutorial and judicial capacity to handle complex transnational crime cases involving JITs.  In Guatemala, GovRisk ensured appropriate supervision, monitoring, and regulation of DNFBPs for AML/CFT compliance (2016-2017, donor unspecified), ensuring key stakeholders from competent authorities were better placed to incorporate best practices for effective regulation and supervision of DNFBPs in accordance with their level of risk.</w:t>
      </w:r>
    </w:p>
    <w:p>
      <w:r>
        <w:rPr>
          <w:rFonts w:ascii="Calibri" w:hAnsi="Calibri"/>
          <w:b w:val="0"/>
          <w:sz w:val="22"/>
        </w:rPr>
        <w:t>**Jamaica:** GovRisk designed and delivered Investigative Interviewing and Crime Investigation courses (2022-2024, UK FCDO) including two 4-day training courses on statement writing and investigative interviewing of witnesses for civilian staff across multiple law enforcement agencies and a two-week Crime Investigation Course covering investigative techniques and case preparation, producing comprehensive training and reference materials to support course participants.</w:t>
      </w:r>
    </w:p>
    <w:p>
      <w:r>
        <w:rPr>
          <w:rFonts w:ascii="Calibri" w:hAnsi="Calibri"/>
          <w:b w:val="0"/>
          <w:sz w:val="22"/>
        </w:rPr>
        <w:t>**Trinidad and Tobago:** GovRisk delivered investigative techniques training to international law enforcement including Trinidad and Tobago Police Service and the Special Anti-Crime Unit (2010, various donors).</w:t>
      </w:r>
    </w:p>
    <w:p>
      <w:r>
        <w:rPr>
          <w:rFonts w:ascii="Calibri" w:hAnsi="Calibri"/>
          <w:b/>
          <w:sz w:val="28"/>
        </w:rPr>
        <w:t>Thematic Areas</w:t>
      </w:r>
    </w:p>
    <w:p>
      <w:r>
        <w:rPr>
          <w:rFonts w:ascii="Calibri" w:hAnsi="Calibri"/>
          <w:b w:val="0"/>
          <w:sz w:val="22"/>
        </w:rPr>
        <w:t>**Thematic Expertise Aligned with TOR Requirements**</w:t>
      </w:r>
    </w:p>
    <w:p>
      <w:r>
        <w:rPr>
          <w:rFonts w:ascii="Calibri" w:hAnsi="Calibri"/>
          <w:b w:val="0"/>
          <w:sz w:val="22"/>
        </w:rPr>
        <w:t>**Counterterrorism Financing and Terrorist Designations:** GovRisk has direct experience supporting counterterrorism financing objectives through the U.S. Department of State Bureau of Counterterrorism-funded programme in Argentina, Brazil, and Paraguay (2021-2025, ongoing) designed to degrade and disrupt the financing of terrorist organizations including Hizballah and other designated groups operating in the Tri-Border Area and beyond. The programme strengthened AML/CFT frameworks in line with FATF standards, increased institutional capacity to identify, report, investigate, and prosecute terrorist financing, and strengthened targeted financial sanctions aligned with UN Security Council Resolutions and U.S. designations.</w:t>
      </w:r>
    </w:p>
    <w:p>
      <w:r>
        <w:rPr>
          <w:rFonts w:ascii="Calibri" w:hAnsi="Calibri"/>
          <w:b w:val="0"/>
          <w:sz w:val="22"/>
        </w:rPr>
        <w:t>**Legal Framework Development and Prosecutorial Capacity Building:** GovRisk supported legal and regulatory framework reforms in Mexico (2024-2026, ongoing, U.S. State Department INL) recommending and supporting changes to legal, regulatory, and constitutional frameworks based on comprehensive diagnostic assessments of state-level Economic and Asset Intelligence Units.  GovRisk led technical consultations in Guatemala, Honduras, and El Salvador (2020-2023, UK FCDO) improving legal frameworks including asset-sharing agreements and establishing a trilateral agreement outlining JIT-specific principles, procedures, and action protocols, strengthening prosecutorial and judicial capacity to handle complex transnational crime cases.  In Paraguay, GovRisk trained Public Ministry personnel on investigating money laundering and terrorist financing and trained Supreme Court of Justice officials on best practices for detection, investigation, and prosecution.</w:t>
      </w:r>
    </w:p>
    <w:p>
      <w:r>
        <w:rPr>
          <w:rFonts w:ascii="Calibri" w:hAnsi="Calibri"/>
          <w:b w:val="0"/>
          <w:sz w:val="22"/>
        </w:rPr>
        <w:t>**Law Enforcement Training and Investigative Capacity:** GovRisk designed training curricula tailored to national contexts in Mexico (2024-2026, ongoing, U.S. State Department INL) for actors involved in critical investigations and criminal procedures, deploying diverse tools, methodologies, training sessions, events, and simulated trials to enhance skills of stakeholders tackling complex money laundering cases.  GovRisk trained law enforcement in the Western Balkans (2022-2025, UK FCDO) on tracing and seizing cryptocurrencies and virtual assets in Montenegro, Kosovo, and Bosnia and Herzegovina, delivering practical training on cryptocurrency investigation and virtual asset service provider supervision.   GovRisk delivered cryptocurrency investigation training to prosecutors and analysts in Mexico and across Latin America (2022-2023, U.S. Department of State INL).</w:t>
      </w:r>
    </w:p>
    <w:p>
      <w:r>
        <w:rPr>
          <w:rFonts w:ascii="Calibri" w:hAnsi="Calibri"/>
          <w:b w:val="0"/>
          <w:sz w:val="22"/>
        </w:rPr>
        <w:t>**Judicial Training:** GovRisk trained judges in Paraguay (2021-2025, U.S. Department of State) on best practices for detection, investigation, and prosecution of money laundering and terrorist financing as part of Supreme Court of Justice capacity-building.  GovRisk delivered cross-border asset recovery training for prosecutors and judges in Kosovo, Montenegro, and North Macedonia (2022-2025, UK FCDO) fostering regional collaboration on complex financial crime cases.</w:t>
      </w:r>
    </w:p>
    <w:p>
      <w:r>
        <w:rPr>
          <w:rFonts w:ascii="Calibri" w:hAnsi="Calibri"/>
          <w:b w:val="0"/>
          <w:sz w:val="22"/>
        </w:rPr>
        <w:t>**Financial Intelligence and FIU Capacity Building:** GovRisk developed the 2024 Guide for Joint Strategic and Operational Analysis between FIUs in Colombia, Ecuador, Panama, and Peru (2023-2024, UK FCDO) enhancing FIU capacity to conduct joint investigations into money laundering and terrorism financing, providing a structured framework to streamline joint investigations, improve operational capabilities, and enhance cooperation aligned with FATF and Egmont Group standards.  In Paraguay, GovRisk strengthened SEPRELAD's capacity to receive, process, analyze, and disseminate financial intelligence on money laundering, terrorist financing, and proliferation financing, creating a manual for preparation of strategic analysis reports.  In Mexico, GovRisk is strengthening capacities of State Financial Intelligence Units (UIPEs) to identify, investigate, and combat illicit financial activities (2024-2026, ongoing, U.S. State Department INL).</w:t>
      </w:r>
    </w:p>
    <w:p>
      <w:r>
        <w:rPr>
          <w:rFonts w:ascii="Calibri" w:hAnsi="Calibri"/>
          <w:b w:val="0"/>
          <w:sz w:val="22"/>
        </w:rPr>
        <w:t>**High-Risk Financial Sectors (MSBs, Remittances, Free Trade Zones):** GovRisk strengthened the system for prevention of money laundering and terrorist financing in DNFBPs supervised by SEPRELAD in Paraguay (2021-2025, U.S. Department of State), delivering capacity-building for registered DNFBPs focused on strengthening the system for prevention of money laundering, financing of terrorism, and proliferation of weapons of mass destruction in regulated entities.  GovRisk ensured appropriate supervision, monitoring, and regulation of DNFBPs for AML/CFT compliance in Guatemala (2016-2017) and Mexico (2013-2014), ensuring key stakeholders from competent authorities were better placed to incorporate best practices for effective regulation and supervision of DNFBPs in accordance with their level of risk.</w:t>
      </w:r>
    </w:p>
    <w:p>
      <w:r>
        <w:rPr>
          <w:rFonts w:ascii="Calibri" w:hAnsi="Calibri"/>
          <w:b w:val="0"/>
          <w:sz w:val="22"/>
        </w:rPr>
        <w:t>**Multi-Agency Coordination:** GovRisk strengthened interagency coordination in Mexico (2021-2022, UK FCDO) fostering collaboration between prosecutors, forensic experts, and law enforcement agencies, supporting implementation of standardized forensic and case management procedures to enhance investigative efficiency and transparency.  GovRisk established frameworks in Guatemala, Honduras, and El Salvador (2020-2023, UK FCDO) enhancing efficiency of Mutual Legal Assistance and information exchange, expanding use of special investigative techniques within JITs, and strengthening prosecutorial and judicial capacity through multi-agency coordination.</w:t>
      </w:r>
    </w:p>
    <w:p>
      <w:r>
        <w:rPr>
          <w:rFonts w:ascii="Calibri" w:hAnsi="Calibri"/>
          <w:b w:val="0"/>
          <w:sz w:val="22"/>
        </w:rPr>
        <w:t>**Train-the-Trainer and Sustainability:** GovRisk designed training curricula creating cadres of national instructors in Mexico (2024-2026, ongoing, U.S. State Department INL) tailored to the Mexican context for actors involved in critical investigations and criminal procedures.  GovRisk's interventions are strategically designed to align with established regional cooperation networks and international standards including FATF, capitalizing on existing momentum and political will to drive short-term action and enable long-term sustainability.</w:t>
      </w:r>
    </w:p>
    <w:p>
      <w:r>
        <w:rPr>
          <w:rFonts w:ascii="Calibri" w:hAnsi="Calibri"/>
          <w:b/>
          <w:sz w:val="28"/>
        </w:rPr>
        <w:t>Selected Project Experience</w:t>
      </w:r>
    </w:p>
    <w:p>
      <w:r>
        <w:rPr>
          <w:rFonts w:ascii="Calibri" w:hAnsi="Calibri"/>
          <w:b w:val="0"/>
          <w:sz w:val="22"/>
        </w:rPr>
        <w:t>**Selected Project Experience**</w:t>
      </w:r>
    </w:p>
    <w:p>
      <w:r>
        <w:rPr>
          <w:rFonts w:ascii="Calibri" w:hAnsi="Calibri"/>
          <w:b w:val="0"/>
          <w:sz w:val="22"/>
        </w:rPr>
        <w:t>**Countering the Financing of Terrorism in South America (Argentina, Brazil, Paraguay, 2021-2025, U.S. Department of State Bureau of Counterterrorism)**</w:t>
      </w:r>
    </w:p>
    <w:p>
      <w:r>
        <w:rPr>
          <w:rFonts w:ascii="Calibri" w:hAnsi="Calibri"/>
          <w:b w:val="0"/>
          <w:sz w:val="22"/>
        </w:rPr>
        <w:t>GovRisk is a key subcontractor to the American Bar Association implementing this multiyear U.S. Department of State-funded programme designed to degrade and disrupt the financing of Hizballah and other terrorist groups in the Tri-Border Area, limiting their ability to plan and carry out attacks in the TBA region and globally. The programme strengthens effective implementation of anti-money laundering and countering the financing of terrorism (AML/CFT) measures consistent with FATF recommendations.</w:t>
      </w:r>
    </w:p>
    <w:p>
      <w:r>
        <w:rPr>
          <w:rFonts w:ascii="Calibri" w:hAnsi="Calibri"/>
          <w:b w:val="0"/>
          <w:sz w:val="22"/>
        </w:rPr>
        <w:t>GovRisk assessed opportunities to strengthen public and private sector institutions' capacity to effectively combat money laundering and terrorist financing, increased key AML/CFT actors' understanding of best practices and reforms required to optimize their respective AML/CFT regimes, and co-developed action plans for reform for key program beneficiaries. The program increased local institutional capacity to regulate, supervise, identify, report, investigate, and prosecute money laundering and terrorist financing, strengthened targeted financial sanctions, and promoted enhanced regional collaboration to combat ML and TF in the TBA.</w:t>
      </w:r>
    </w:p>
    <w:p>
      <w:r>
        <w:rPr>
          <w:rFonts w:ascii="Calibri" w:hAnsi="Calibri"/>
          <w:b w:val="0"/>
          <w:sz w:val="22"/>
        </w:rPr>
        <w:t>In Paraguay, GovRisk delivered risk-based supervision capacity-building for SEPRELAD employees strengthening AML/CFT supervision of financial and non-financial institutions. GovRisk delivered capacity-building for SEPRELAD analysts strengthening the FIU's capacity to receive, process, analyze, and disseminate financial intelligence on money laundering, terrorist financing, and proliferation financing, creating a manual for preparation of strategic analysis reports for SEPRELAD. GovRisk delivered capacity-building for Public Ministry employees with participation of police, SENAD, and SEPRINTE strengthening capacities to investigate money laundering and terrorist financing. GovRisk delivered capacity-building for Supreme Court of Justice employees focused on best practices for detection, investigation, and prosecution of money laundering and terrorist financing. GovRisk delivered capacity-building for registered DNFBPs strengthening the system for prevention of money laundering, financing of terrorism, and proliferation of weapons of mass destruction in regulated entities supervised by SEPRELAD.</w:t>
      </w:r>
    </w:p>
    <w:p>
      <w:r>
        <w:rPr>
          <w:rFonts w:ascii="Calibri" w:hAnsi="Calibri"/>
          <w:b w:val="0"/>
          <w:sz w:val="22"/>
        </w:rPr>
        <w:t>**Enhancing Professionalization and Intelligence Capabilities of Personnel Combating Money Laundering Operations in Mexican States (Mexico, 2024-2026, ongoing, U.S. Department of State INL/PECEL)**</w:t>
      </w:r>
    </w:p>
    <w:p>
      <w:r>
        <w:rPr>
          <w:rFonts w:ascii="Calibri" w:hAnsi="Calibri"/>
          <w:b w:val="0"/>
          <w:sz w:val="22"/>
        </w:rPr>
        <w:t>As a key subcontractor to the Pan American Development Foundation, GovRisk is leading implementation of the INL/PECEL project enhancing professionalization and intelligence capabilities of personnel combating money laundering operations. Collaborating closely with institutions across eight target states including Economic and Asset Intelligence Units and State Financial Intelligence Units (UIPEs) along with Public Prosecutor's Offices, GovRisk is strengthening their capacities to identify, investigate, and combat illicit financial activities.</w:t>
      </w:r>
    </w:p>
    <w:p>
      <w:r>
        <w:rPr>
          <w:rFonts w:ascii="Calibri" w:hAnsi="Calibri"/>
          <w:b w:val="0"/>
          <w:sz w:val="22"/>
        </w:rPr>
        <w:t>A comprehensive diagnostic assessment is currently underway (ongoing) to ensure a targeted approach in effectively analyzing and prosecuting money laundering crimes. Based on this assessment, GovRisk will recommend and support changes to legal, regulatory, and constitutional frameworks. The initiative includes developing standardized processes and activities for all UIPEs and designing a training curriculum tailored to the Mexican context. The training modules cater to various actors involved in critical investigations and criminal procedures. Through strategic interventions, GovRisk is deploying diverse tools, methodologies, training sessions, events, and simulated trials to enhance the skills of all stakeholders tackling complex money laundering cases. GovRisk is collaborating with national platforms such as the National Commission for Oversight and Anti-Corruption to promote best practices endorsed by the project.</w:t>
      </w:r>
    </w:p>
    <w:p>
      <w:r>
        <w:rPr>
          <w:rFonts w:ascii="Calibri" w:hAnsi="Calibri"/>
          <w:b w:val="0"/>
          <w:sz w:val="22"/>
        </w:rPr>
        <w:t>**Tackling Illicit Financial Flows in Latin America (Colombia, Ecuador, Peru, Panama, 2023-2024, UK FCDO Integrated Security Fund)**</w:t>
      </w:r>
    </w:p>
    <w:p>
      <w:r>
        <w:rPr>
          <w:rFonts w:ascii="Calibri" w:hAnsi="Calibri"/>
          <w:b w:val="0"/>
          <w:sz w:val="22"/>
        </w:rPr>
        <w:t>GovRisk is the subcontractor to DAI Global UK delivering Strategic Institutional Support to Tackle Illicit Financial Flows in Latin America, strengthening intra-regional collaboration between Financial Investigation Units to share best practices and strengthen the strategy and response of countries in the fight against illicit financial flows and corruption. GovRisk developed the 2024 Guide for Joint Strategic and Operational Analysis between FIUs enhancing the capacity of FIUs to conduct joint investigations into money laundering and terrorism financing.</w:t>
      </w:r>
    </w:p>
    <w:p>
      <w:r>
        <w:rPr>
          <w:rFonts w:ascii="Calibri" w:hAnsi="Calibri"/>
          <w:b w:val="0"/>
          <w:sz w:val="22"/>
        </w:rPr>
        <w:t>GovRisk collaborated with FIUs from Colombia, Ecuador, Panama, and Peru through bilateral exchanges, multilateral visits, and workshops focused on sharing best practices. The guide provided a structured framework for FIUs to streamline joint investigations, improve operational capabilities, and enhance cooperation across national and regional authorities. It included sections on intelligence investigations, strategic and operational analysis, and coordination aligned with FATF and Egmont Group standards. To ensure successful implementation, GovRisk proposed capacity-building initiatives including tailored training workshops, on-site consultations, and technology support. Regional activities including workshops, joint simulation exercises, and creation of a regional network further strengthened collaboration and trust among participating FIUs, boosting efforts to combat illicit financial flows across Latin America.</w:t>
      </w:r>
    </w:p>
    <w:p>
      <w:r>
        <w:rPr>
          <w:rFonts w:ascii="Calibri" w:hAnsi="Calibri"/>
          <w:b w:val="0"/>
          <w:sz w:val="22"/>
        </w:rPr>
        <w:t>**Effective Joint Investigations for Money Laundering by Competent Authorities (Guatemala, Honduras, El Salvador, 2020-2023, UK FCDO)**</w:t>
      </w:r>
    </w:p>
    <w:p>
      <w:r>
        <w:rPr>
          <w:rFonts w:ascii="Calibri" w:hAnsi="Calibri"/>
          <w:b w:val="0"/>
          <w:sz w:val="22"/>
        </w:rPr>
        <w:t>GovRisk led this programme strengthening cross-border financial crime investigations in Guatemala, Honduras, and El Salvador and preventing illicit funds from entering financial systems by integrating UK and international best practices into the legal and operational design of Joint Investigation Teams. GovRisk led technical consultations, strategy workshops, and training with Public Prosecutor's Offices and FIUs building understanding and consensus around frameworks and processes needed to establish JITs and fostering political will and informal networks to advance this agenda across the three jurisdictions.</w:t>
      </w:r>
    </w:p>
    <w:p>
      <w:r>
        <w:rPr>
          <w:rFonts w:ascii="Calibri" w:hAnsi="Calibri"/>
          <w:b w:val="0"/>
          <w:sz w:val="22"/>
        </w:rPr>
        <w:t>Consultations and strategic sessions achieved six key outcomes: clarified resource requirements (human, financial, technological) for JITs; improved legal frameworks including asset-sharing agreements; established a trilateral agreement outlining JIT-specific principles, procedures, and action protocols; enhanced efficiency of Mutual Legal Assistance and information exchange; expanded use of special investigative techniques within JITs; and strengthened prosecutorial and judicial capacity to handle complex transnational crime cases involving JITs.</w:t>
      </w:r>
    </w:p>
    <w:p>
      <w:r>
        <w:rPr>
          <w:rFonts w:ascii="Calibri" w:hAnsi="Calibri"/>
          <w:b w:val="0"/>
          <w:sz w:val="22"/>
        </w:rPr>
        <w:t>**Strategy and Capacity Building for Improved Criminal Investigation Models (Mexico, 2021-2022, UK FCDO)**</w:t>
      </w:r>
    </w:p>
    <w:p>
      <w:r>
        <w:rPr>
          <w:rFonts w:ascii="Calibri" w:hAnsi="Calibri"/>
          <w:b w:val="0"/>
          <w:sz w:val="22"/>
        </w:rPr>
        <w:t>GovRisk was the key implementer of this UK FCDO-funded project supporting public prosecutors in Mexico City, Tabasco, Jalisco, and Chihuahua in adopting improved standards and processes for investigating homicides and embezzlement. This initiative built upon the UK Government's previous Anti-Corruption and Rule of Law (ACROL) programming in Mexico, which had been canceled in 2021 due to COVID-19 and corresponding cuts to UK ODA funding. The project ensured the effective uptake of the clearer and more consistent investigative processes and standards developed under ACROL.</w:t>
      </w:r>
    </w:p>
    <w:p>
      <w:r>
        <w:rPr>
          <w:rFonts w:ascii="Calibri" w:hAnsi="Calibri"/>
          <w:b w:val="0"/>
          <w:sz w:val="22"/>
        </w:rPr>
        <w:t>Specialized training programs were scaled up, equipping officials with the necessary skills to conduct effective investigations through real-case scenarios. The initiative integrated new technologies including digital records and data-driven decision-making tools. Beyond capacity building, the programme strengthened interagency coordination by fostering collaboration between prosecutors, forensic experts, and law enforcement agencies. It supported implementation of standardized forensic and case management procedures to enhance investigative efficiency and transparency. By reinforcing investigative capabilities and institutional coordination, the project improved prosecution outcomes for homicide and embezzlement cases.</w:t>
      </w:r>
    </w:p>
    <w:p>
      <w:r>
        <w:rPr>
          <w:rFonts w:ascii="Calibri" w:hAnsi="Calibri"/>
          <w:b w:val="0"/>
          <w:sz w:val="22"/>
        </w:rPr>
        <w:t>**UK Anti-Corruption and Rule of Law (ACROL) Programme (Mexico, 2018-2021, UK FCDO Prosperity Fund)**</w:t>
      </w:r>
    </w:p>
    <w:p>
      <w:r>
        <w:rPr>
          <w:rFonts w:ascii="Calibri" w:hAnsi="Calibri"/>
          <w:b w:val="0"/>
          <w:sz w:val="22"/>
        </w:rPr>
        <w:t>GovRisk was a key subcontractor to PA Consulting implementing this multiyear UK FCDO Prosperity Fund programme supporting Mexico's efforts to improve public services by enhancing processes and building capacity within key government agencies responsible for detecting and investigating serious crime and corruption. By strengthening institutional frameworks and coordination mechanisms, the project fostered an equitable, sustainable, and democratic society while driving inclusive economic growth. A strong emphasis was placed on addressing homicide, embezzlement, and cybercrime.</w:t>
      </w:r>
    </w:p>
    <w:p>
      <w:r>
        <w:rPr>
          <w:rFonts w:ascii="Calibri" w:hAnsi="Calibri"/>
          <w:b w:val="0"/>
          <w:sz w:val="22"/>
        </w:rPr>
        <w:t>Through targeted interventions, the project established clearer and more consistent investigative processes and standards. It increased accountability in public services by streamlining and standardizing procedures including national and subnational guidelines for evidence gathering, forensic practices, and data reporting. Specialized training programs were scaled up to equip officials with necessary skills to conduct effective investigations using real-case scenarios and integrating new technologies such as digital records and data-driven decision-making tools. Efforts to improve interagency coordination resulted in development of guidelines and working groups that enhanced collaboration among anti-corruption and rule of law institutions at federal, state, and municipal levels. These mechanisms facilitated better information sharing and strengthened civil society's role in holding the government accountable.</w:t>
      </w:r>
    </w:p>
    <w:p>
      <w:r>
        <w:rPr>
          <w:rFonts w:ascii="Calibri" w:hAnsi="Calibri"/>
          <w:b/>
          <w:sz w:val="28"/>
        </w:rPr>
        <w:t>Alignment with ToR</w:t>
      </w:r>
    </w:p>
    <w:p>
      <w:r>
        <w:rPr>
          <w:rFonts w:ascii="Calibri" w:hAnsi="Calibri"/>
          <w:b w:val="0"/>
          <w:sz w:val="22"/>
        </w:rPr>
        <w:t>**Alignment with Terms of Reference**</w:t>
      </w:r>
    </w:p>
    <w:p>
      <w:r>
        <w:rPr>
          <w:rFonts w:ascii="Calibri" w:hAnsi="Calibri"/>
          <w:b w:val="0"/>
          <w:sz w:val="22"/>
        </w:rPr>
        <w:t>**Sustainable Training and Mentoring Platform for Investigators, Prosecutors, and Judges:** GovRisk designed and delivered sustainable training platforms in Mexico (2024-2026, ongoing, U.S. State Department INL) developing standardized processes for State Financial Intelligence Units and designing training curricula tailored to the Mexican context for actors involved in critical investigations and criminal procedures, deploying diverse tools, methodologies, training sessions, events, and simulated trials.  GovRisk trained Public Ministry personnel, Supreme Court of Justice officials, and regulated entities in Paraguay (2021-2025, U.S. Department of State) on investigating money laundering and terrorist financing and on best practices for detection, investigation, and prosecution.  GovRisk strengthened prosecutorial and judicial capacity in Guatemala, Honduras, and El Salvador (2020-2023, UK FCDO) to handle complex transnational crime cases through JIT frameworks.</w:t>
      </w:r>
    </w:p>
    <w:p>
      <w:r>
        <w:rPr>
          <w:rFonts w:ascii="Calibri" w:hAnsi="Calibri"/>
          <w:b w:val="0"/>
          <w:sz w:val="22"/>
        </w:rPr>
        <w:t>**Focus on High-Risk Financial Sectors Vulnerable to Money Laundering and Terrorist Financing:** GovRisk strengthened the system for prevention of money laundering and terrorist financing in DNFBPs supervised by SEPRELAD in Paraguay (2021-2025, U.S. Department of State) delivering capacity-building for registered DNFBPs focused on strengthening the system for prevention of money laundering, financing of terrorism, and proliferation of weapons of mass destruction in regulated entities.  GovRisk ensured appropriate supervision, monitoring, and regulation of DNFBPs for AML/CFT compliance in Guatemala (2016-2017) and Mexico (2013-2014), ensuring key stakeholders from competent authorities were better placed to incorporate best practices for effective regulation and supervision of DNFBPs in accordance with their level of risk.</w:t>
      </w:r>
    </w:p>
    <w:p>
      <w:r>
        <w:rPr>
          <w:rFonts w:ascii="Calibri" w:hAnsi="Calibri"/>
          <w:b w:val="0"/>
          <w:sz w:val="22"/>
        </w:rPr>
        <w:t>**Technical Assistance for Terrorist Designations and Sanctions Regimes Aligned with U.S. Designations and UN Security Council Resolutions:** GovRisk strengthened targeted financial sanctions in Argentina, Brazil, and Paraguay (2021-2025, U.S. Department of State) through the Countering the Financing of Terrorism programme designed to degrade and disrupt the financing of Hizballah and other designated terrorist groups, increasing local institutional capacity to implement targeted financial sanctions aligned with FATF standards.   The programme strengthened effective implementation of AML/CFT measures consistent with FATF recommendations and supported enhanced regional collaboration to combat money laundering and terrorist financing.</w:t>
      </w:r>
    </w:p>
    <w:p>
      <w:r>
        <w:rPr>
          <w:rFonts w:ascii="Calibri" w:hAnsi="Calibri"/>
          <w:b w:val="0"/>
          <w:sz w:val="22"/>
        </w:rPr>
        <w:t>**Support Implementation of NSPM-2 by Training Partner Countries to Address Threats from Iranian Proxies:** GovRisk's Countering the Financing of Terrorism in South America programme (2021-2025, U.S. Department of State) was designed to degrade and disrupt the financing of Hizballah and other terrorist groups operating in the Tri-Border Area and globally, directly addressing threats from Iranian proxies through capacity-building for governments and financial sector stakeholders to strengthen AML/CFT frameworks aligned with FATF standards.</w:t>
      </w:r>
    </w:p>
    <w:p>
      <w:r>
        <w:rPr>
          <w:rFonts w:ascii="Calibri" w:hAnsi="Calibri"/>
          <w:b w:val="0"/>
          <w:sz w:val="22"/>
        </w:rPr>
        <w:t>**Promote Multi-Agency Coordination Among Law Enforcement, Prosecutors, Financial Intelligence Units, Regulators, and Judiciaries:** GovRisk strengthened interagency coordination in Mexico (2021-2022, UK FCDO) fostering collaboration between prosecutors, forensic experts, and law enforcement agencies, supporting implementation of standardized forensic and case management procedures.  GovRisk collaborated closely with institutions across eight target Mexican states (2024-2026, ongoing, U.S. State Department INL) including Economic and Asset Intelligence Units, State Financial Intelligence Units, and Public Prosecutor's Offices strengthening capacities to identify, investigate, and combat illicit financial activities.  GovRisk established frameworks in Guatemala, Honduras, and El Salvador (2020-2023, UK FCDO) enhancing efficiency of Mutual Legal Assistance and information exchange, expanding use of special investigative techniques within JITs.</w:t>
      </w:r>
    </w:p>
    <w:p>
      <w:r>
        <w:rPr>
          <w:rFonts w:ascii="Calibri" w:hAnsi="Calibri"/>
          <w:b w:val="0"/>
          <w:sz w:val="22"/>
        </w:rPr>
        <w:t>**Coordinate and Deconflict with Existing Regional Training Activities:** GovRisk's interventions are strategically designed and communicated to align with, reinforce, and build upon established regional cooperation networks and international standards including FATF, ARIN-CARIB, and Regional Security System, capitalizing on existing momentum and political will to drive short-term action and enable long-term sustainability.  GovRisk conducted comprehensive reviews of existing technical resources developed by the Regional Security System including draft policies, procedures, and training materials, adapting and enhancing these resources to ensure they reflect current best practices and are tailored to operational realities of participating agencies. GovRisk coordinated closely with ARIN-CARIB Secretariat and peer members to ensure frameworks and procedures are designed to ensure full interoperability with ARIN-CARIB's existing mechanisms for information sharing and mutual assistance.</w:t>
      </w:r>
    </w:p>
    <w:p>
      <w:r>
        <w:rPr>
          <w:rFonts w:ascii="Calibri" w:hAnsi="Calibri"/>
          <w:b w:val="0"/>
          <w:sz w:val="22"/>
        </w:rPr>
        <w:t>**Develop Train-the-Trainer Approaches to Create Cadre of National Instructors for Sustainability:** GovRisk designed training curricula in Mexico (2024-2026, ongoing, U.S. State Department INL) tailored to the Mexican context for actors involved in critical investigations and criminal procedures, developing standardized processes creating cadres of national instructors capable of sustaining capacity beyond program timelines.  GovRisk's delivery model emphasizes train-the-trainer curricula ensuring long-term institutional ownership and continuity.</w:t>
      </w:r>
    </w:p>
    <w:p>
      <w:r>
        <w:rPr>
          <w:rFonts w:ascii="Calibri" w:hAnsi="Calibri"/>
          <w:b w:val="0"/>
          <w:sz w:val="22"/>
        </w:rPr>
        <w:t>**Provide Training on Engagement and Collaboration with U.S. Law Enforcement to Increase Information Sharing:** GovRisk developed frameworks in Guatemala, Honduras, and El Salvador (2020-2023, UK FCDO) enhancing efficiency of Mutual Legal Assistance and information exchange through trilateral agreements outlining JIT-specific principles, procedures, and action protocols.  GovRisk developed the 2024 Guide for Joint Strategic and Operational Analysis between FIUs in Colombia, Ecuador, Panama, and Peru (2023-2024, UK FCDO) providing structured frameworks for FIUs to streamline joint investigations and enhance cooperation aligned with FATF and Egmont Group standards, conducting bilateral exchanges, multilateral visits, and workshops focused on sharing best practices.</w:t>
      </w:r>
    </w:p>
    <w:p>
      <w:pPr>
        <w:pBdr>
          <w:bottom w:val="single" w:sz="6" w:space="1" w:color="808080"/>
        </w:pBdr>
      </w:pPr>
    </w:p>
    <w:p>
      <w:r>
        <w:rPr>
          <w:rFonts w:ascii="Calibri" w:hAnsi="Calibri"/>
          <w:b/>
          <w:sz w:val="28"/>
        </w:rPr>
        <w:t>Interpretation Log</w:t>
      </w:r>
    </w:p>
    <w:p>
      <w:r>
        <w:rPr>
          <w:rFonts w:ascii="Calibri" w:hAnsi="Calibri"/>
          <w:i/>
          <w:sz w:val="20"/>
        </w:rPr>
        <w:t>Section: opening_statement</w:t>
        <w:br/>
        <w:t>Inference: Inferred that GovRisk has 'demonstrated expertise' in counterterrorism financing based on U.S. Department of State Bureau of Counterterrorism-funded programme in Argentina, Brazil, Paraguay (2021-2025). Used language 'degrade terrorist financing networks' and 'disruption of designated terrorist organizations including Hizballah' directly from source materials describing programme objectives.</w:t>
        <w:br/>
        <w:t>Source: Cap Stat GR CT Western Hemisphere 2026.docx:page_1; GovRisk Capability Statement for Latam Mar 2025.pdf:page_3</w:t>
        <w:br/>
        <w:t>Gap: None</w:t>
        <w:br/>
        <w:t>Confidence: HIGH</w:t>
      </w:r>
    </w:p>
    <w:p>
      <w:r>
        <w:rPr>
          <w:rFonts w:ascii="Calibri" w:hAnsi="Calibri"/>
          <w:i/>
          <w:sz w:val="20"/>
        </w:rPr>
        <w:t>Section: institutional_overview</w:t>
        <w:br/>
        <w:t>Inference: Stated '12 years' and 'over 100 projects across 55 countries' directly from source material. Inferred that GovRisk has 'operational law enforcement, prosecutorial, financial intelligence, and regulatory backgrounds' based on multiple CVs and project descriptions showing personnel with these backgrounds, though institutional overview does not explicitly state this as organizational structure.</w:t>
        <w:br/>
        <w:t>Source: GovRisk Capability Statement for Latam Mar 2025.pdf:page_1; IDB RG-T4590-P003 GovRisk Submission_FINAL TECH.pdf:page_5</w:t>
        <w:br/>
        <w:t>Gap: None</w:t>
        <w:br/>
        <w:t>Confidence: HIGH</w:t>
      </w:r>
    </w:p>
    <w:p>
      <w:r>
        <w:rPr>
          <w:rFonts w:ascii="Calibri" w:hAnsi="Calibri"/>
          <w:i/>
          <w:sz w:val="20"/>
        </w:rPr>
        <w:t>Section: country_table</w:t>
        <w:br/>
        <w:t>Inference: Year ranges calculated from earliest to most recent project dates found in sources. Project counts are explicit counts of distinct named projects per country found in source materials. Named identifiers taken directly from project titles in sources. Donor identification taken directly from source attributions.</w:t>
        <w:br/>
        <w:t>Source: GovRisk Capability Statement for Latam Mar 2025.pdf:pages_2-3; GovRisk Capability Statement DOSMEXICO AML 2023.pdf:pages_2-5; IDB RG-T4590-P003 GovRisk Submission_FINAL TECH.pdf:pages_6-7,28,46</w:t>
        <w:br/>
        <w:t>Gap: Some project donors listed as 'unspecified' or 'various' when source materials did not provide explicit donor attribution for Brazil Justice Management Reform Model (2016-2017), Paraguay SEPRELAD assistance (2016-2017), and Trinidad and Tobago training (2010).</w:t>
        <w:br/>
        <w:t>Confidence: HIGH</w:t>
      </w:r>
    </w:p>
    <w:p>
      <w:r>
        <w:rPr>
          <w:rFonts w:ascii="Calibri" w:hAnsi="Calibri"/>
          <w:i/>
          <w:sz w:val="20"/>
        </w:rPr>
        <w:t>Section: geographic_experience</w:t>
        <w:br/>
        <w:t>Inference: Geographic experience structured by country with project count, year range, and named projects as per strict rules. Used past tense for completed projects (e.g., 'delivered', 'supported', 'trained') and present tense with '(ongoing)' marker for current projects in Mexico (2024-2026). Impact language focused on institutional changes: 'strengthened interagency coordination', 'implemented standardized procedures', 'improved prosecution outcomes'.</w:t>
        <w:br/>
        <w:t>Source: GovRisk Capability Statement for Latam Mar 2025.pdf:pages_2-3; GovRisk Capability Statement for UKFCDO Mex Mar 2025 (1).pdf:pages_1-2,5; GovRisk Capability Statement DOSMEXICO AML 2023.pdf:pages_2-5; IDB RG-T4590-P003 GovRisk Submission_FINAL TECH.pdf:pages_7,28,46</w:t>
        <w:br/>
        <w:t>Gap: Bolivia, Chile not found in source materials despite being listed in TOR geography. Brazil Justice Management Reform Model (2016-2017) lacks detailed impact description in sources.</w:t>
        <w:br/>
        <w:t>Confidence: MEDIUM</w:t>
      </w:r>
    </w:p>
    <w:p>
      <w:r>
        <w:rPr>
          <w:rFonts w:ascii="Calibri" w:hAnsi="Calibri"/>
          <w:i/>
          <w:sz w:val="20"/>
        </w:rPr>
        <w:t>Section: thematic_areas</w:t>
        <w:br/>
        <w:t>Inference: Thematic areas structured to directly mirror TOR key requirements. Each thematic subsection provides evidence from named projects with years, countries, donors, and identifiers. Inferred relevance of cryptocurrency training in Latin America (2022-2023) and Western Balkans (2022-2025) to TOR requirement for 'high-risk financial sectors' though sources do not explicitly mention free trade zones or ports.</w:t>
        <w:br/>
        <w:t>Source: Cap Stat GR CT Western Hemisphere 2026.docx:page_1; GovRisk Capability Statement for Latam Mar 2025.pdf:pages_2-3; IDB RG-T4590-P003 GovRisk Submission_FINAL TECH.pdf:pages_5-7,11; GovRisk Capability Statement DOSMEXICO AML 2023.pdf:pages_2,4</w:t>
        <w:br/>
        <w:t>Gap: No explicit evidence found for 'free trade zones' or 'ports' mentioned in TOR high-risk sectors. DNFBP supervision projects may cover some high-risk sectors but sources do not specify MSBs or remittance locations explicitly.</w:t>
        <w:br/>
        <w:t>Confidence: MEDIUM</w:t>
      </w:r>
    </w:p>
    <w:p>
      <w:r>
        <w:rPr>
          <w:rFonts w:ascii="Calibri" w:hAnsi="Calibri"/>
          <w:i/>
          <w:sz w:val="20"/>
        </w:rPr>
        <w:t>Section: selected_project_experience</w:t>
        <w:br/>
        <w:t>Inference: Selected six projects most relevant to TOR requirements: counterterrorism financing, state-level AML/CFT capacity building, FIU cooperation, joint investigation teams, prosecutorial capacity, and multi-agency coordination. Each project description includes name, year, country, donor, named identifier, and detailed activities/outcomes from sources. Used past tense for completed projects and present tense with '(ongoing)' for Mexico INL/PECEL project.</w:t>
        <w:br/>
        <w:t>Source: GovRisk Capability Statement for Latam Mar 2025.pdf:pages_2-3; GovRisk Capability Statement for UKFCDO Mex Mar 2025 (1).pdf:pages_1-2,5; GovRisk Capability Statement DOSMEXICO AML 2023.pdf:page_2; IDB RG-T4590-P003 GovRisk Submission_FINAL TECH.pdf:page_7</w:t>
        <w:br/>
        <w:t>Gap: None</w:t>
        <w:br/>
        <w:t>Confidence: HIGH</w:t>
      </w:r>
    </w:p>
    <w:p>
      <w:r>
        <w:rPr>
          <w:rFonts w:ascii="Calibri" w:hAnsi="Calibri"/>
          <w:i/>
          <w:sz w:val="20"/>
        </w:rPr>
        <w:t>Section: alignment_with_tor</w:t>
        <w:br/>
        <w:t>Inference: Structured alignment section to address each TOR key requirement with specific project evidence. Each requirement subsection cites named projects with years, countries, donors, and identifiers demonstrating how GovRisk experience aligns with that requirement. Inferred that Hizballah focus in TBA programme (2021-2025) aligns with NSPM-2 requirement to address Iranian proxies, though sources do not explicitly mention NSPM-2.</w:t>
        <w:br/>
        <w:t>Source: GovRisk Capability Statement for Latam Mar 2025.pdf:pages_2-3; GovRisk Capability Statement DOSMEXICO AML 2023.pdf:pages_2,4-5; IDB RG-T4590-P003 GovRisk Submission_FINAL TECH.pdf:pages_7,11; Cap Stat GR CT Western Hemisphere 2026.docx:page_1</w:t>
        <w:br/>
        <w:t>Gap: No explicit mention of 'International Law Enforcement Academy (ILEA)' coordination in source materials. NSPM-2 not explicitly mentioned in sources, though Hizballah/Iranian proxy focus inferred as alignment. No explicit evidence of training on 'engagement with U.S. law enforcement' though mutual legal assistance and information sharing frameworks cover similar ground.</w:t>
        <w:br/>
        <w:t>Confidence: MEDIUM</w:t>
      </w:r>
    </w:p>
    <w:p>
      <w:r>
        <w:rPr>
          <w:rFonts w:ascii="Calibri" w:hAnsi="Calibri"/>
          <w:b/>
          <w:sz w:val="28"/>
        </w:rPr>
        <w:t>Source Citations</w:t>
      </w:r>
    </w:p>
    <w:p>
      <w:r>
        <w:rPr>
          <w:rFonts w:ascii="Calibri" w:hAnsi="Calibri"/>
          <w:i/>
          <w:color w:val="808080"/>
          <w:sz w:val="18"/>
        </w:rPr>
        <w:t>Source: GovRisk Capability Statement for Latam Mar 2025.pdf, p.1</w:t>
      </w:r>
    </w:p>
    <w:p>
      <w:r>
        <w:rPr>
          <w:rFonts w:ascii="Calibri" w:hAnsi="Calibri"/>
          <w:i/>
          <w:color w:val="808080"/>
          <w:sz w:val="18"/>
        </w:rPr>
        <w:t>Source: Cap Stat GR CT Western Hemisphere 2026.docx, p.1</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Latam Mar 2025.pdf, p.1</w:t>
      </w:r>
    </w:p>
    <w:p>
      <w:r>
        <w:rPr>
          <w:rFonts w:ascii="Calibri" w:hAnsi="Calibri"/>
          <w:i/>
          <w:color w:val="808080"/>
          <w:sz w:val="18"/>
        </w:rPr>
        <w:t>Source: GovRisk Capability Statement for Latam Mar 2025.pdf, p.2</w:t>
      </w:r>
    </w:p>
    <w:p>
      <w:r>
        <w:rPr>
          <w:rFonts w:ascii="Calibri" w:hAnsi="Calibri"/>
          <w:i/>
          <w:color w:val="808080"/>
          <w:sz w:val="18"/>
        </w:rPr>
        <w:t>Source: IDB RG-T4590-P003 GovRisk Submission_FINAL TECH.pdf, p.5</w:t>
      </w:r>
    </w:p>
    <w:p>
      <w:r>
        <w:rPr>
          <w:rFonts w:ascii="Calibri" w:hAnsi="Calibri"/>
          <w:i/>
          <w:color w:val="808080"/>
          <w:sz w:val="18"/>
        </w:rPr>
        <w:t>Source: GovRisk Capability Statement for Latam Mar 2025.pdf, p.2</w:t>
      </w:r>
    </w:p>
    <w:p>
      <w:r>
        <w:rPr>
          <w:rFonts w:ascii="Calibri" w:hAnsi="Calibri"/>
          <w:i/>
          <w:color w:val="808080"/>
          <w:sz w:val="18"/>
        </w:rPr>
        <w:t>Source: IDB RG-T4590-P003 GovRisk Submission_FINAL TECH.pdf, p.11</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UKFCDO Mex Mar 2025 (1).pdf, p.1</w:t>
      </w:r>
    </w:p>
    <w:p>
      <w:r>
        <w:rPr>
          <w:rFonts w:ascii="Calibri" w:hAnsi="Calibri"/>
          <w:i/>
          <w:color w:val="808080"/>
          <w:sz w:val="18"/>
        </w:rPr>
        <w:t>Source: GovRisk Capability Statement DOSMEXICO AML 2023.pdf, p.2</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DOSMEXICO AML 2023.pdf, p.2</w:t>
      </w:r>
    </w:p>
    <w:p>
      <w:r>
        <w:rPr>
          <w:rFonts w:ascii="Calibri" w:hAnsi="Calibri"/>
          <w:i/>
          <w:color w:val="808080"/>
          <w:sz w:val="18"/>
        </w:rPr>
        <w:t>Source: 20 April GovRisk CN for RPG IADB Risk A. Real Estate.docx, p.4</w:t>
      </w:r>
    </w:p>
    <w:p>
      <w:r>
        <w:rPr>
          <w:rFonts w:ascii="Calibri" w:hAnsi="Calibri"/>
          <w:i/>
          <w:color w:val="808080"/>
          <w:sz w:val="18"/>
        </w:rPr>
        <w:t>Source: GovRisk Capability Statement DOSMEXICO AML 2023.pdf, p.5</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UKFCDO Mex Mar 2025 (1).pdf, p.5</w:t>
      </w:r>
    </w:p>
    <w:p>
      <w:r>
        <w:rPr>
          <w:rFonts w:ascii="Calibri" w:hAnsi="Calibri"/>
          <w:i/>
          <w:color w:val="808080"/>
          <w:sz w:val="18"/>
        </w:rPr>
        <w:t>Source: GovRisk Capability Statement DOSMEXICO AML 2023.pdf, p.4</w:t>
      </w:r>
    </w:p>
    <w:p>
      <w:r>
        <w:rPr>
          <w:rFonts w:ascii="Calibri" w:hAnsi="Calibri"/>
          <w:i/>
          <w:color w:val="808080"/>
          <w:sz w:val="18"/>
        </w:rPr>
        <w:t>Source: IDB RG-T4590-P003 GovRisk Submission_FINAL TECH.pdf, p.7</w:t>
      </w:r>
    </w:p>
    <w:p>
      <w:r>
        <w:rPr>
          <w:rFonts w:ascii="Calibri" w:hAnsi="Calibri"/>
          <w:i/>
          <w:color w:val="808080"/>
          <w:sz w:val="18"/>
        </w:rPr>
        <w:t>Source: GovRisk Capability Statement DOSMEXICO AML 2023.pdf, p.5</w:t>
      </w:r>
    </w:p>
    <w:p>
      <w:r>
        <w:rPr>
          <w:rFonts w:ascii="Calibri" w:hAnsi="Calibri"/>
          <w:i/>
          <w:color w:val="808080"/>
          <w:sz w:val="18"/>
        </w:rPr>
        <w:t>Source: IDB RG-T4590-P003 GovRisk Submission_FINAL TECH.pdf, p.28</w:t>
      </w:r>
    </w:p>
    <w:p>
      <w:r>
        <w:rPr>
          <w:rFonts w:ascii="Calibri" w:hAnsi="Calibri"/>
          <w:i/>
          <w:color w:val="808080"/>
          <w:sz w:val="18"/>
        </w:rPr>
        <w:t>Source: IDB RG-T4590-P003 GovRisk Submission_FINAL TECH.pdf, p.46</w:t>
      </w:r>
    </w:p>
    <w:p>
      <w:r>
        <w:rPr>
          <w:rFonts w:ascii="Calibri" w:hAnsi="Calibri"/>
          <w:i/>
          <w:color w:val="808080"/>
          <w:sz w:val="18"/>
        </w:rPr>
        <w:t>Source: Cap Stat GR CT Western Hemisphere 2026.docx, p.1</w:t>
      </w:r>
    </w:p>
    <w:p>
      <w:r>
        <w:rPr>
          <w:rFonts w:ascii="Calibri" w:hAnsi="Calibri"/>
          <w:i/>
          <w:color w:val="808080"/>
          <w:sz w:val="18"/>
        </w:rPr>
        <w:t>Source: GovRisk CN for RPG IADB Risk A. Real Estate.docx, p.1</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Latam Mar 2025.pdf, p.2</w:t>
      </w:r>
    </w:p>
    <w:p>
      <w:r>
        <w:rPr>
          <w:rFonts w:ascii="Calibri" w:hAnsi="Calibri"/>
          <w:i/>
          <w:color w:val="808080"/>
          <w:sz w:val="18"/>
        </w:rPr>
        <w:t>Source: IDB RG-T4590-P003 GovRisk Submission_FINAL TECH.pdf, p.7</w:t>
      </w:r>
    </w:p>
    <w:p>
      <w:r>
        <w:rPr>
          <w:rFonts w:ascii="Calibri" w:hAnsi="Calibri"/>
          <w:i/>
          <w:color w:val="808080"/>
          <w:sz w:val="18"/>
        </w:rPr>
        <w:t>Source: GovRisk Capability Statement DOSMEXICO AML 2023.pdf, p.2</w:t>
      </w:r>
    </w:p>
    <w:p>
      <w:r>
        <w:rPr>
          <w:rFonts w:ascii="Calibri" w:hAnsi="Calibri"/>
          <w:i/>
          <w:color w:val="808080"/>
          <w:sz w:val="18"/>
        </w:rPr>
        <w:t>Source: GovRisk Capability Statement for Latam Mar 2025.pdf, p.2</w:t>
      </w:r>
    </w:p>
    <w:p>
      <w:r>
        <w:rPr>
          <w:rFonts w:ascii="Calibri" w:hAnsi="Calibri"/>
          <w:i/>
          <w:color w:val="808080"/>
          <w:sz w:val="18"/>
        </w:rPr>
        <w:t>Source: IDB RG-T4590-P003 GovRisk Submission_FINAL TECH.pdf, p.6</w:t>
      </w:r>
    </w:p>
    <w:p>
      <w:r>
        <w:rPr>
          <w:rFonts w:ascii="Calibri" w:hAnsi="Calibri"/>
          <w:i/>
          <w:color w:val="808080"/>
          <w:sz w:val="18"/>
        </w:rPr>
        <w:t>Source: IDB RG-T4590-P003 GovRisk Submission_FINAL TECH.pdf, p.7</w:t>
      </w:r>
    </w:p>
    <w:p>
      <w:r>
        <w:rPr>
          <w:rFonts w:ascii="Calibri" w:hAnsi="Calibri"/>
          <w:i/>
          <w:color w:val="808080"/>
          <w:sz w:val="18"/>
        </w:rPr>
        <w:t>Source: GovRisk Capability Statement DOSMEXICO AML 2023.pdf, p.2</w:t>
      </w:r>
    </w:p>
    <w:p>
      <w:r>
        <w:rPr>
          <w:rFonts w:ascii="Calibri" w:hAnsi="Calibri"/>
          <w:i/>
          <w:color w:val="808080"/>
          <w:sz w:val="18"/>
        </w:rPr>
        <w:t>Source: IDB RG-T4590-P003 GovRisk Submission_FINAL TECH.pdf, p.5</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DOSMEXICO AML 2023.pdf, p.2</w:t>
      </w:r>
    </w:p>
    <w:p>
      <w:r>
        <w:rPr>
          <w:rFonts w:ascii="Calibri" w:hAnsi="Calibri"/>
          <w:i/>
          <w:color w:val="808080"/>
          <w:sz w:val="18"/>
        </w:rPr>
        <w:t>Source: GovRisk Capability Statement DOSMEXICO AML 2023.pdf, p.2</w:t>
      </w:r>
    </w:p>
    <w:p>
      <w:r>
        <w:rPr>
          <w:rFonts w:ascii="Calibri" w:hAnsi="Calibri"/>
          <w:i/>
          <w:color w:val="808080"/>
          <w:sz w:val="18"/>
        </w:rPr>
        <w:t>Source: GovRisk Capability Statement DOSMEXICO AML 2023.pdf, p.4</w:t>
      </w:r>
    </w:p>
    <w:p>
      <w:r>
        <w:rPr>
          <w:rFonts w:ascii="Calibri" w:hAnsi="Calibri"/>
          <w:i/>
          <w:color w:val="808080"/>
          <w:sz w:val="18"/>
        </w:rPr>
        <w:t>Source: GovRisk Capability Statement DOSMEXICO AML 2023.pdf, p.5</w:t>
      </w:r>
    </w:p>
    <w:p>
      <w:r>
        <w:rPr>
          <w:rFonts w:ascii="Calibri" w:hAnsi="Calibri"/>
          <w:i/>
          <w:color w:val="808080"/>
          <w:sz w:val="18"/>
        </w:rPr>
        <w:t>Source: GovRisk Capability Statement for Latam Mar 2025.pdf, p.3</w:t>
      </w:r>
    </w:p>
    <w:p>
      <w:r>
        <w:rPr>
          <w:rFonts w:ascii="Calibri" w:hAnsi="Calibri"/>
          <w:i/>
          <w:color w:val="808080"/>
          <w:sz w:val="18"/>
        </w:rPr>
        <w:t>Source: IDB RG-T4590-P003 GovRisk Submission_FINAL TECH.pdf, p.7</w:t>
      </w:r>
    </w:p>
    <w:p>
      <w:r>
        <w:rPr>
          <w:rFonts w:ascii="Calibri" w:hAnsi="Calibri"/>
          <w:i/>
          <w:color w:val="808080"/>
          <w:sz w:val="18"/>
        </w:rPr>
        <w:t>Source: GovRisk Capability Statement for Latam Mar 2025.pdf, p.2</w:t>
      </w:r>
    </w:p>
    <w:p>
      <w:r>
        <w:rPr>
          <w:rFonts w:ascii="Calibri" w:hAnsi="Calibri"/>
          <w:i/>
          <w:color w:val="808080"/>
          <w:sz w:val="18"/>
        </w:rPr>
        <w:t>Source: IDB RG-T4590-P003 GovRisk Submission_FINAL TECH.pdf, p.11</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p.5</w:t>
      </w:r>
    </w:p>
    <w:p>
      <w:r>
        <w:rPr>
          <w:rFonts w:ascii="Calibri" w:hAnsi="Calibri"/>
          <w:i/>
          <w:color w:val="808080"/>
          <w:sz w:val="18"/>
        </w:rPr>
        <w:t>Source: GovRisk Capability Statement DOSMEXICO AML 2023.pdf, p.2</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UKFCDO Mex Mar 2025 (1).pdf, p.1</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p.5</w:t>
      </w:r>
    </w:p>
    <w:p>
      <w:r>
        <w:rPr>
          <w:rFonts w:ascii="Calibri" w:hAnsi="Calibri"/>
          <w:i/>
          <w:color w:val="808080"/>
          <w:sz w:val="18"/>
        </w:rPr>
        <w:t>Source: IDB RG-T4590-P003 GovRisk Submission_FINAL TECH.pdf, p.7</w:t>
      </w:r>
    </w:p>
    <w:p>
      <w:r>
        <w:rPr>
          <w:rFonts w:ascii="Calibri" w:hAnsi="Calibri"/>
          <w:i/>
          <w:color w:val="808080"/>
          <w:sz w:val="18"/>
        </w:rPr>
        <w:t>Source: IDB RG-T4590-P003 GovRisk Submission_FINAL TECH.pdf, p.7</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for UKFCDO Mex Mar 2025 (1).pdf, p.2</w:t>
      </w:r>
    </w:p>
    <w:p>
      <w:r>
        <w:rPr>
          <w:rFonts w:ascii="Calibri" w:hAnsi="Calibri"/>
          <w:i/>
          <w:color w:val="808080"/>
          <w:sz w:val="18"/>
        </w:rPr>
        <w:t>Source: GovRisk Capability Statement DOSMEXICO AML 2023.pdf, p.2</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DOSMEXICO AML 2023.pdf, p.2</w:t>
      </w:r>
    </w:p>
    <w:p>
      <w:r>
        <w:rPr>
          <w:rFonts w:ascii="Calibri" w:hAnsi="Calibri"/>
          <w:i/>
          <w:color w:val="808080"/>
          <w:sz w:val="18"/>
        </w:rPr>
        <w:t>Source: IDB RG-T4590-P003 GovRisk Submission_FINAL TECH.pdf, p.7</w:t>
      </w:r>
    </w:p>
    <w:p>
      <w:r>
        <w:rPr>
          <w:rFonts w:ascii="Calibri" w:hAnsi="Calibri"/>
          <w:i/>
          <w:color w:val="808080"/>
          <w:sz w:val="18"/>
        </w:rPr>
        <w:t>Source: GovRisk Capability Statement DOSMEXICO AML 2023.pdf, p.2</w:t>
      </w:r>
    </w:p>
    <w:p>
      <w:r>
        <w:rPr>
          <w:rFonts w:ascii="Calibri" w:hAnsi="Calibri"/>
          <w:i/>
          <w:color w:val="808080"/>
          <w:sz w:val="18"/>
        </w:rPr>
        <w:t>Source: GovRisk Capability Statement DOSMEXICO AML 2023.pdf, p.4</w:t>
      </w:r>
    </w:p>
    <w:p>
      <w:r>
        <w:rPr>
          <w:rFonts w:ascii="Calibri" w:hAnsi="Calibri"/>
          <w:i/>
          <w:color w:val="808080"/>
          <w:sz w:val="18"/>
        </w:rPr>
        <w:t>Source: GovRisk Capability Statement DOSMEXICO AML 2023.pdf, p.5</w:t>
      </w:r>
    </w:p>
    <w:p>
      <w:r>
        <w:rPr>
          <w:rFonts w:ascii="Calibri" w:hAnsi="Calibri"/>
          <w:i/>
          <w:color w:val="808080"/>
          <w:sz w:val="18"/>
        </w:rPr>
        <w:t>Source: GovRisk Capability Statement for Latam Mar 2025.pdf, p.3</w:t>
      </w:r>
    </w:p>
    <w:p>
      <w:r>
        <w:rPr>
          <w:rFonts w:ascii="Calibri" w:hAnsi="Calibri"/>
          <w:i/>
          <w:color w:val="808080"/>
          <w:sz w:val="18"/>
        </w:rPr>
        <w:t>Source: IDB RG-T4590-P003 GovRisk Submission_FINAL TECH.pdf, p.5</w:t>
      </w:r>
    </w:p>
    <w:p>
      <w:r>
        <w:rPr>
          <w:rFonts w:ascii="Calibri" w:hAnsi="Calibri"/>
          <w:i/>
          <w:color w:val="808080"/>
          <w:sz w:val="18"/>
        </w:rPr>
        <w:t>Source: Cap Stat GR CT Western Hemisphere 2026.docx, p.1</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Latam Mar 2025.pdf, p.3</w:t>
      </w:r>
    </w:p>
    <w:p>
      <w:r>
        <w:rPr>
          <w:rFonts w:ascii="Calibri" w:hAnsi="Calibri"/>
          <w:i/>
          <w:color w:val="808080"/>
          <w:sz w:val="18"/>
        </w:rPr>
        <w:t>Source: GovRisk Capability Statement for Latam Mar 2025.pdf, p.2</w:t>
      </w:r>
    </w:p>
    <w:p>
      <w:r>
        <w:rPr>
          <w:rFonts w:ascii="Calibri" w:hAnsi="Calibri"/>
          <w:i/>
          <w:color w:val="808080"/>
          <w:sz w:val="18"/>
        </w:rPr>
        <w:t>Source: IDB RG-T4590-P003 GovRisk Submission_FINAL TECH.pdf, p.7</w:t>
      </w:r>
    </w:p>
    <w:p>
      <w:r>
        <w:rPr>
          <w:rFonts w:ascii="Calibri" w:hAnsi="Calibri"/>
          <w:i/>
          <w:color w:val="808080"/>
          <w:sz w:val="18"/>
        </w:rPr>
        <w:t>Source: IDB RG-T4590-P003 GovRisk Submission_FINAL TECH.pdf, p.11</w:t>
      </w:r>
    </w:p>
    <w:p>
      <w:r>
        <w:rPr>
          <w:rFonts w:ascii="Calibri" w:hAnsi="Calibri"/>
          <w:i/>
          <w:color w:val="808080"/>
          <w:sz w:val="18"/>
        </w:rPr>
        <w:t>Source: GovRisk Capability Statement for Latam Mar 2025.pdf, p.2</w:t>
      </w:r>
    </w:p>
    <w:p>
      <w:r>
        <w:rPr>
          <w:rFonts w:ascii="Calibri" w:hAnsi="Calibri"/>
          <w:i/>
          <w:color w:val="808080"/>
          <w:sz w:val="18"/>
        </w:rPr>
        <w:t>Source: IDB RG-T4590-P003 GovRisk Submission_FINAL TECH.pdf, p.11</w:t>
      </w:r>
    </w:p>
    <w:p>
      <w:r>
        <w:rPr>
          <w:rFonts w:ascii="Calibri" w:hAnsi="Calibri"/>
          <w:i/>
          <w:color w:val="808080"/>
          <w:sz w:val="18"/>
        </w:rPr>
        <w:t>Source: IDB RG-T4590-P003 GovRisk Submission_FINAL TECH.pdf, p.7</w:t>
      </w:r>
    </w:p>
    <w:p>
      <w:r>
        <w:rPr>
          <w:rFonts w:ascii="Calibri" w:hAnsi="Calibri"/>
          <w:i/>
          <w:color w:val="808080"/>
          <w:sz w:val="18"/>
        </w:rPr>
        <w:t>Source: GovRisk Capability Statement for Latam Mar 2025.pdf, p.2</w:t>
      </w:r>
    </w:p>
    <w:p>
      <w:r>
        <w:rPr>
          <w:rFonts w:ascii="Calibri" w:hAnsi="Calibri"/>
          <w:i/>
          <w:color w:val="808080"/>
          <w:sz w:val="18"/>
        </w:rPr>
        <w:t>Source: GovRisk Capability Statement for Latam Mar 2025.pdf, p.3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