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Reflection on Specific Features and Assessment in Investigations</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Lyron Winderbaum</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Fonts w:ascii="Calibri" w:cs="Calibri" w:eastAsia="Calibri" w:hAnsi="Calibri"/>
          <w:rtl w:val="0"/>
        </w:rPr>
        <w:t xml:space="preserve">The worksheet questions for the Ipuprofen Titration experiment covered a wide range of standards, including KA1, KA2, KA4, IAE2, IAE3, and IAE4, and it could easily have also included some IAE1 I think too. With the exception of KA3, which could easily be added into this experiment too, this is all of the standards. Which is pretty amazing, actually. Maybe the sign of a truly interesting prac? Breaking it down though, I think KA1 and KA4, and even IAE3, are tested much in the same way they would be in a SAT. I think the value of this kind of assessment, from the perspective of giving evidence towards the performance standards, is in IAE2, IAE4, and in principle a design prac would also allow for IAE1 (which this one could easily do I think). It is also a great opportunity to give evidence for KA2. </w:t>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I think having a supervised assessment component for investigations is valuable. Glen went into some detail about the value of this for distinguishing students ability from the ability of their tutor (who might help write their prac reports for them, as morally questionable as that may be) and how this helps make the assessment more fair to students without access to such tutors, and I think that argument has some validity especially if the tutors writing prac reports for students is a real problem in a particular context. However I think the value of having a supervised assessment component goes beyond that, as similar to a SAT it can also get evidence on the ability of students under relatively time-constrained conditions, and gets their initial reactions and impressions, which can potentially provide alot of insight into their through processes and can serve a powerful formative assessment purpose --- understanding what their initial reactions to ideas are can help inform how to present such ideas to them in the future in a way that will appeal and interest them, improving the effectiveness of the teaching and learning process. </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As for assessing skills, again I think this holds some value, although it can be difficult to do in practice. I went around the class and tried going through the matrices of skills assessment items in my head for a few people and found it difficult to assess, particularly the more detailed matrix. The simplified matrix would definitely be more feasible. However one of the big values of skills assessment as I see it is for the student --- to let them know they have laboratory skills and thereby help them develop some confidence --- and for this purpose such matrices are not required, verbal reassurance should do the trick, also maybe the skills matrices would give the students a way to track their own progress and see their improvement over time. The value of skills assessment also goes towards some of the points I discussed in my safety management reflection, that speaking with each individual student and assessing their skills at setting up and using glassware for example is not only to do with providing evidence for SIS, but is a crucial safety step. I do find it abit confusing how SIS are still in the SACE Subject Outlines, but aren’t directly reflected in the performance standards (IAE2 maybe), so I’m not sure how collecting evidence on SIS directly helps the students in that sense (apart from providing evidence for IAE2 for example). It could also potentially contribute as a formative assessment to help students skills and understanding of procedures to help them provide evidence for IAE4 in other mediums, in principle.</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