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1DD63" w14:textId="77777777" w:rsidR="004812CF" w:rsidRPr="00BE544E" w:rsidRDefault="004812CF" w:rsidP="004812CF">
      <w:pPr>
        <w:rPr>
          <w:sz w:val="28"/>
          <w:szCs w:val="28"/>
        </w:rPr>
      </w:pPr>
      <w:r>
        <w:rPr>
          <w:sz w:val="32"/>
          <w:szCs w:val="32"/>
        </w:rPr>
        <w:t>│</w:t>
      </w:r>
      <w:r w:rsidRPr="006136B4">
        <w:rPr>
          <w:rFonts w:ascii="Arial Narrow" w:hAnsi="Arial Narrow"/>
          <w:noProof/>
          <w:lang w:eastAsia="zh-CN"/>
        </w:rPr>
        <w:drawing>
          <wp:anchor distT="0" distB="0" distL="114300" distR="114300" simplePos="0" relativeHeight="251659264" behindDoc="0" locked="0" layoutInCell="1" allowOverlap="1" wp14:anchorId="5A53F89A" wp14:editId="62751106">
            <wp:simplePos x="0" y="0"/>
            <wp:positionH relativeFrom="margin">
              <wp:posOffset>-1059</wp:posOffset>
            </wp:positionH>
            <wp:positionV relativeFrom="margin">
              <wp:posOffset>72848</wp:posOffset>
            </wp:positionV>
            <wp:extent cx="1464310" cy="649605"/>
            <wp:effectExtent l="0" t="0" r="254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464310" cy="649605"/>
                    </a:xfrm>
                    <a:prstGeom prst="rect">
                      <a:avLst/>
                    </a:prstGeom>
                    <a:noFill/>
                  </pic:spPr>
                </pic:pic>
              </a:graphicData>
            </a:graphic>
          </wp:anchor>
        </w:drawing>
      </w:r>
      <w:r>
        <w:rPr>
          <w:sz w:val="32"/>
          <w:szCs w:val="32"/>
        </w:rPr>
        <w:t xml:space="preserve"> </w:t>
      </w:r>
      <w:r w:rsidRPr="00044CC6">
        <w:rPr>
          <w:sz w:val="32"/>
          <w:szCs w:val="32"/>
        </w:rPr>
        <w:t>Chemistry Curriculum and Methodology</w:t>
      </w:r>
      <w:r>
        <w:rPr>
          <w:sz w:val="32"/>
          <w:szCs w:val="32"/>
        </w:rPr>
        <w:t xml:space="preserve"> A</w:t>
      </w:r>
    </w:p>
    <w:p w14:paraId="2836EE04" w14:textId="77777777" w:rsidR="004812CF" w:rsidRDefault="004812CF" w:rsidP="004812CF"/>
    <w:p w14:paraId="5E55DB21" w14:textId="77777777" w:rsidR="004812CF" w:rsidRPr="00AF32CA" w:rsidRDefault="004812CF" w:rsidP="004812CF"/>
    <w:p w14:paraId="5B2C37A5" w14:textId="77777777" w:rsidR="00583E7B" w:rsidRPr="00923F21" w:rsidRDefault="00583E7B" w:rsidP="00583E7B">
      <w:pPr>
        <w:spacing w:after="0" w:line="276" w:lineRule="auto"/>
        <w:rPr>
          <w:sz w:val="28"/>
          <w:szCs w:val="28"/>
        </w:rPr>
      </w:pPr>
      <w:r>
        <w:rPr>
          <w:sz w:val="28"/>
          <w:szCs w:val="28"/>
        </w:rPr>
        <w:t>Summative</w:t>
      </w:r>
      <w:r w:rsidRPr="00923F21">
        <w:rPr>
          <w:sz w:val="28"/>
          <w:szCs w:val="28"/>
        </w:rPr>
        <w:t xml:space="preserve"> Task: Resource Analysis</w:t>
      </w:r>
    </w:p>
    <w:p w14:paraId="4A5FA4CF" w14:textId="77777777" w:rsidR="00583E7B" w:rsidRPr="00923F21" w:rsidRDefault="00583E7B" w:rsidP="00583E7B">
      <w:pPr>
        <w:spacing w:after="0" w:line="276" w:lineRule="auto"/>
      </w:pPr>
      <w:r w:rsidRPr="00923F21">
        <w:t>Select an appropriate resource which may be incorporated</w:t>
      </w:r>
      <w:r>
        <w:t xml:space="preserve"> into the teaching of</w:t>
      </w:r>
      <w:r w:rsidRPr="00923F21">
        <w:t xml:space="preserve"> SACE Stage 1 or Stage 2 Chemistry</w:t>
      </w:r>
      <w:r>
        <w:t xml:space="preserve"> (this will assist in the production of the final Topic Folio)</w:t>
      </w:r>
      <w:r w:rsidRPr="00923F21">
        <w:t>.</w:t>
      </w:r>
    </w:p>
    <w:p w14:paraId="52427A4E" w14:textId="77777777" w:rsidR="00583E7B" w:rsidRPr="00923F21" w:rsidRDefault="00583E7B" w:rsidP="00583E7B">
      <w:pPr>
        <w:spacing w:after="0" w:line="276" w:lineRule="auto"/>
      </w:pPr>
      <w:r w:rsidRPr="00923F21">
        <w:t>Analyse the resource according to the cri</w:t>
      </w:r>
      <w:r>
        <w:t>teria outlined in the Analysis T</w:t>
      </w:r>
      <w:r w:rsidRPr="00923F21">
        <w:t>able.</w:t>
      </w:r>
    </w:p>
    <w:p w14:paraId="5B5AEBC2" w14:textId="77777777" w:rsidR="00583E7B" w:rsidRPr="00923F21" w:rsidRDefault="00583E7B" w:rsidP="00583E7B">
      <w:pPr>
        <w:spacing w:after="0" w:line="276" w:lineRule="auto"/>
      </w:pPr>
      <w:r w:rsidRPr="00923F21">
        <w:t xml:space="preserve">Prepare a multimedia presentation </w:t>
      </w:r>
      <w:r>
        <w:t xml:space="preserve">(may be in the form of a flipped recording) based on your analysis of the resource (approximately 3 - 5 </w:t>
      </w:r>
      <w:r w:rsidRPr="00923F21">
        <w:t>minutes) to share in the following Tutorial.</w:t>
      </w:r>
    </w:p>
    <w:p w14:paraId="4A13611F" w14:textId="77777777" w:rsidR="00583E7B" w:rsidRPr="00AF32CA" w:rsidRDefault="00583E7B" w:rsidP="00583E7B">
      <w:pPr>
        <w:spacing w:after="0" w:line="276" w:lineRule="auto"/>
      </w:pPr>
    </w:p>
    <w:p w14:paraId="6481AE76" w14:textId="77777777" w:rsidR="00583E7B" w:rsidRPr="00923F21" w:rsidRDefault="00583E7B" w:rsidP="00583E7B">
      <w:pPr>
        <w:spacing w:after="0" w:line="276" w:lineRule="auto"/>
        <w:rPr>
          <w:sz w:val="28"/>
          <w:szCs w:val="28"/>
        </w:rPr>
      </w:pPr>
      <w:r w:rsidRPr="00923F21">
        <w:rPr>
          <w:sz w:val="28"/>
          <w:szCs w:val="28"/>
        </w:rPr>
        <w:t>Assessment</w:t>
      </w:r>
    </w:p>
    <w:p w14:paraId="5E0EDAA7" w14:textId="77777777" w:rsidR="00583E7B" w:rsidRPr="00923F21" w:rsidRDefault="00583E7B" w:rsidP="00583E7B">
      <w:pPr>
        <w:spacing w:after="0" w:line="276" w:lineRule="auto"/>
      </w:pPr>
      <w:r w:rsidRPr="00923F21">
        <w:t>The Analysi</w:t>
      </w:r>
      <w:r>
        <w:t>s Table</w:t>
      </w:r>
      <w:r w:rsidRPr="00923F21">
        <w:t xml:space="preserve"> and </w:t>
      </w:r>
      <w:r>
        <w:t xml:space="preserve">Multimedia </w:t>
      </w:r>
      <w:r w:rsidRPr="00923F21">
        <w:t>Pres</w:t>
      </w:r>
      <w:r>
        <w:t xml:space="preserve">entation are to be submitted electronically via </w:t>
      </w:r>
      <w:proofErr w:type="spellStart"/>
      <w:r>
        <w:t>MyUni</w:t>
      </w:r>
      <w:proofErr w:type="spellEnd"/>
      <w:r>
        <w:t xml:space="preserve"> (15%)</w:t>
      </w:r>
      <w:r w:rsidRPr="00923F21">
        <w:t xml:space="preserve">. </w:t>
      </w:r>
      <w:r>
        <w:t>T</w:t>
      </w:r>
      <w:r w:rsidRPr="00923F21">
        <w:t>he digital resource</w:t>
      </w:r>
      <w:r>
        <w:t>s</w:t>
      </w:r>
      <w:r w:rsidRPr="00923F21">
        <w:t xml:space="preserve"> will be shared </w:t>
      </w:r>
      <w:r>
        <w:t xml:space="preserve">through a Discussion Board </w:t>
      </w:r>
      <w:r w:rsidRPr="00923F21">
        <w:t>to extend the resour</w:t>
      </w:r>
      <w:r>
        <w:t>ce repository being developed</w:t>
      </w:r>
      <w:r w:rsidRPr="00923F21">
        <w:t>.</w:t>
      </w:r>
      <w:r>
        <w:t xml:space="preserve"> You will be asked to post comments in 3 active discussions (5%) to demonstrate further evidence of collaboration and engagement with the task.</w:t>
      </w:r>
    </w:p>
    <w:p w14:paraId="7AE7272F" w14:textId="77777777" w:rsidR="00583E7B" w:rsidRPr="00AF32CA" w:rsidRDefault="00583E7B" w:rsidP="00583E7B">
      <w:pPr>
        <w:spacing w:after="0" w:line="276" w:lineRule="auto"/>
      </w:pPr>
    </w:p>
    <w:p w14:paraId="10D73335" w14:textId="77777777" w:rsidR="00583E7B" w:rsidRPr="00923F21" w:rsidRDefault="00583E7B" w:rsidP="00583E7B">
      <w:pPr>
        <w:spacing w:after="0" w:line="276" w:lineRule="auto"/>
        <w:rPr>
          <w:sz w:val="28"/>
          <w:szCs w:val="28"/>
        </w:rPr>
      </w:pPr>
      <w:r>
        <w:rPr>
          <w:sz w:val="28"/>
          <w:szCs w:val="28"/>
        </w:rPr>
        <w:t xml:space="preserve">Course </w:t>
      </w:r>
      <w:r w:rsidRPr="00923F21">
        <w:rPr>
          <w:sz w:val="28"/>
          <w:szCs w:val="28"/>
        </w:rPr>
        <w:t>Learning Outcomes</w:t>
      </w:r>
    </w:p>
    <w:p w14:paraId="2AD438EB" w14:textId="77777777" w:rsidR="00583E7B" w:rsidRPr="00460527" w:rsidRDefault="00583E7B" w:rsidP="00583E7B">
      <w:pPr>
        <w:pStyle w:val="ListParagraph"/>
        <w:numPr>
          <w:ilvl w:val="0"/>
          <w:numId w:val="3"/>
        </w:numPr>
        <w:spacing w:after="0" w:line="276" w:lineRule="auto"/>
      </w:pPr>
      <w:r w:rsidRPr="00460527">
        <w:rPr>
          <w:rFonts w:cs="Arial"/>
        </w:rPr>
        <w:t>Demonstrate deep knowledge and understanding of the complexity of the discipline and the teaching strategies of the learning area.</w:t>
      </w:r>
    </w:p>
    <w:p w14:paraId="2A985FD9" w14:textId="77777777" w:rsidR="00583E7B" w:rsidRPr="00460527" w:rsidRDefault="00583E7B" w:rsidP="00583E7B">
      <w:pPr>
        <w:pStyle w:val="ListParagraph"/>
        <w:numPr>
          <w:ilvl w:val="0"/>
          <w:numId w:val="3"/>
        </w:numPr>
        <w:spacing w:after="0" w:line="276" w:lineRule="auto"/>
      </w:pPr>
      <w:r w:rsidRPr="00460527">
        <w:rPr>
          <w:rFonts w:cs="Arial"/>
        </w:rPr>
        <w:t>Assemble a range of subject-appropriate resources, including online, that engage a diversity of students in their learning.</w:t>
      </w:r>
    </w:p>
    <w:p w14:paraId="32A1BE75" w14:textId="77777777" w:rsidR="00583E7B" w:rsidRPr="00460527" w:rsidRDefault="00583E7B" w:rsidP="00583E7B">
      <w:pPr>
        <w:pStyle w:val="ListParagraph"/>
        <w:numPr>
          <w:ilvl w:val="0"/>
          <w:numId w:val="3"/>
        </w:numPr>
        <w:spacing w:after="0" w:line="276" w:lineRule="auto"/>
      </w:pPr>
      <w:r w:rsidRPr="00460527">
        <w:rPr>
          <w:rFonts w:cs="Arial"/>
        </w:rPr>
        <w:t>Integrate relevant research and theory to develop a broad repertoire of subject-appropriate teaching and learning strategies, including use of ICT.</w:t>
      </w:r>
    </w:p>
    <w:p w14:paraId="021451F2" w14:textId="77777777" w:rsidR="00583E7B" w:rsidRPr="00AF32CA" w:rsidRDefault="00583E7B" w:rsidP="00583E7B">
      <w:pPr>
        <w:pStyle w:val="ListParagraph"/>
        <w:numPr>
          <w:ilvl w:val="0"/>
          <w:numId w:val="3"/>
        </w:numPr>
        <w:spacing w:after="0" w:line="276" w:lineRule="auto"/>
      </w:pPr>
      <w:r w:rsidRPr="00460527">
        <w:rPr>
          <w:rFonts w:cs="Arial"/>
        </w:rPr>
        <w:t>Demonstrate communication skills to present a clear and coherent exposition of knowledge and ideas to a diverse range of students</w:t>
      </w:r>
    </w:p>
    <w:p w14:paraId="6098504F" w14:textId="77777777" w:rsidR="00583E7B" w:rsidRPr="00AF32CA" w:rsidRDefault="00583E7B" w:rsidP="00583E7B">
      <w:pPr>
        <w:spacing w:after="0" w:line="276" w:lineRule="auto"/>
        <w:ind w:left="360"/>
      </w:pPr>
    </w:p>
    <w:p w14:paraId="4E4DC4A9" w14:textId="77777777" w:rsidR="00583E7B" w:rsidRPr="00923F21" w:rsidRDefault="00583E7B" w:rsidP="00583E7B">
      <w:pPr>
        <w:rPr>
          <w:sz w:val="28"/>
          <w:szCs w:val="28"/>
        </w:rPr>
      </w:pPr>
      <w:r w:rsidRPr="00923F21">
        <w:rPr>
          <w:sz w:val="28"/>
          <w:szCs w:val="28"/>
        </w:rPr>
        <w:t>Assessment Rubric</w:t>
      </w:r>
      <w:r>
        <w:rPr>
          <w:sz w:val="28"/>
          <w:szCs w:val="28"/>
        </w:rPr>
        <w:tab/>
      </w:r>
      <w:r>
        <w:rPr>
          <w:sz w:val="28"/>
          <w:szCs w:val="28"/>
        </w:rPr>
        <w:tab/>
      </w:r>
      <w:r>
        <w:rPr>
          <w:sz w:val="28"/>
          <w:szCs w:val="28"/>
        </w:rPr>
        <w:tab/>
      </w:r>
      <w:r>
        <w:rPr>
          <w:sz w:val="28"/>
          <w:szCs w:val="28"/>
        </w:rPr>
        <w:tab/>
        <w:t>Student:</w:t>
      </w:r>
    </w:p>
    <w:tbl>
      <w:tblPr>
        <w:tblStyle w:val="TableGrid"/>
        <w:tblW w:w="9628" w:type="dxa"/>
        <w:tblInd w:w="-5" w:type="dxa"/>
        <w:tblLook w:val="01E0" w:firstRow="1" w:lastRow="1" w:firstColumn="1" w:lastColumn="1" w:noHBand="0" w:noVBand="0"/>
      </w:tblPr>
      <w:tblGrid>
        <w:gridCol w:w="1510"/>
        <w:gridCol w:w="1442"/>
        <w:gridCol w:w="1435"/>
        <w:gridCol w:w="1435"/>
        <w:gridCol w:w="1435"/>
        <w:gridCol w:w="1438"/>
        <w:gridCol w:w="933"/>
      </w:tblGrid>
      <w:tr w:rsidR="00583E7B" w14:paraId="59465C9D" w14:textId="77777777" w:rsidTr="000136D4">
        <w:tc>
          <w:tcPr>
            <w:tcW w:w="1510" w:type="dxa"/>
            <w:tcBorders>
              <w:top w:val="single" w:sz="4" w:space="0" w:color="000000"/>
              <w:left w:val="single" w:sz="4" w:space="0" w:color="000000"/>
              <w:bottom w:val="single" w:sz="4" w:space="0" w:color="000000"/>
              <w:right w:val="single" w:sz="4" w:space="0" w:color="000000"/>
            </w:tcBorders>
          </w:tcPr>
          <w:p w14:paraId="187E6FB3" w14:textId="77777777" w:rsidR="00583E7B" w:rsidRPr="00923F21" w:rsidRDefault="00583E7B" w:rsidP="000136D4">
            <w:pPr>
              <w:rPr>
                <w:b/>
                <w:sz w:val="16"/>
                <w:szCs w:val="16"/>
              </w:rPr>
            </w:pPr>
            <w:r w:rsidRPr="00923F21">
              <w:rPr>
                <w:b/>
                <w:sz w:val="16"/>
                <w:szCs w:val="16"/>
              </w:rPr>
              <w:t>Assessment Design Criteria</w:t>
            </w:r>
          </w:p>
        </w:tc>
        <w:tc>
          <w:tcPr>
            <w:tcW w:w="1442" w:type="dxa"/>
            <w:tcBorders>
              <w:top w:val="single" w:sz="4" w:space="0" w:color="000000"/>
              <w:left w:val="single" w:sz="4" w:space="0" w:color="000000"/>
              <w:bottom w:val="single" w:sz="4" w:space="0" w:color="000000"/>
              <w:right w:val="single" w:sz="4" w:space="0" w:color="000000"/>
            </w:tcBorders>
          </w:tcPr>
          <w:p w14:paraId="458FD382" w14:textId="77777777" w:rsidR="00583E7B" w:rsidRPr="00923F21" w:rsidRDefault="00583E7B" w:rsidP="000136D4">
            <w:pPr>
              <w:ind w:left="33"/>
              <w:jc w:val="center"/>
              <w:rPr>
                <w:rFonts w:cs="Arial"/>
                <w:b/>
                <w:sz w:val="16"/>
                <w:szCs w:val="16"/>
              </w:rPr>
            </w:pPr>
            <w:r w:rsidRPr="00923F21">
              <w:rPr>
                <w:rFonts w:cs="Arial"/>
                <w:b/>
                <w:sz w:val="16"/>
                <w:szCs w:val="16"/>
              </w:rPr>
              <w:t>Fail</w:t>
            </w:r>
          </w:p>
          <w:p w14:paraId="39B205E2" w14:textId="77777777" w:rsidR="00583E7B" w:rsidRPr="00923F21" w:rsidRDefault="00583E7B" w:rsidP="000136D4">
            <w:pPr>
              <w:ind w:left="33"/>
              <w:jc w:val="center"/>
              <w:rPr>
                <w:rFonts w:cs="Arial"/>
                <w:b/>
                <w:sz w:val="16"/>
                <w:szCs w:val="16"/>
              </w:rPr>
            </w:pPr>
            <w:r w:rsidRPr="00923F21">
              <w:rPr>
                <w:rFonts w:cs="Arial"/>
                <w:b/>
                <w:sz w:val="16"/>
                <w:szCs w:val="16"/>
              </w:rPr>
              <w:t>0 &lt; F &lt; 49%</w:t>
            </w:r>
          </w:p>
        </w:tc>
        <w:tc>
          <w:tcPr>
            <w:tcW w:w="1435" w:type="dxa"/>
            <w:tcBorders>
              <w:top w:val="single" w:sz="4" w:space="0" w:color="000000"/>
              <w:left w:val="single" w:sz="4" w:space="0" w:color="000000"/>
              <w:bottom w:val="single" w:sz="4" w:space="0" w:color="000000"/>
              <w:right w:val="single" w:sz="4" w:space="0" w:color="000000"/>
            </w:tcBorders>
          </w:tcPr>
          <w:p w14:paraId="7D9878E7" w14:textId="77777777" w:rsidR="00583E7B" w:rsidRPr="00923F21" w:rsidRDefault="00583E7B" w:rsidP="000136D4">
            <w:pPr>
              <w:ind w:left="33"/>
              <w:jc w:val="center"/>
              <w:rPr>
                <w:rFonts w:cs="Arial"/>
                <w:b/>
                <w:sz w:val="16"/>
                <w:szCs w:val="16"/>
              </w:rPr>
            </w:pPr>
            <w:r w:rsidRPr="00923F21">
              <w:rPr>
                <w:rFonts w:cs="Arial"/>
                <w:b/>
                <w:sz w:val="16"/>
                <w:szCs w:val="16"/>
              </w:rPr>
              <w:t>Pass</w:t>
            </w:r>
          </w:p>
          <w:p w14:paraId="5D6332E6" w14:textId="77777777" w:rsidR="00583E7B" w:rsidRPr="00923F21" w:rsidRDefault="00583E7B" w:rsidP="000136D4">
            <w:pPr>
              <w:ind w:left="33"/>
              <w:jc w:val="center"/>
              <w:rPr>
                <w:rFonts w:cs="Arial"/>
                <w:b/>
                <w:sz w:val="16"/>
                <w:szCs w:val="16"/>
              </w:rPr>
            </w:pPr>
            <w:r w:rsidRPr="00923F21">
              <w:rPr>
                <w:rFonts w:cs="Arial"/>
                <w:b/>
                <w:sz w:val="16"/>
                <w:szCs w:val="16"/>
              </w:rPr>
              <w:t>50 &lt; P &lt; 64%</w:t>
            </w:r>
          </w:p>
        </w:tc>
        <w:tc>
          <w:tcPr>
            <w:tcW w:w="1435" w:type="dxa"/>
            <w:tcBorders>
              <w:top w:val="single" w:sz="4" w:space="0" w:color="000000"/>
              <w:left w:val="single" w:sz="4" w:space="0" w:color="000000"/>
              <w:bottom w:val="single" w:sz="4" w:space="0" w:color="000000"/>
              <w:right w:val="single" w:sz="4" w:space="0" w:color="000000"/>
            </w:tcBorders>
          </w:tcPr>
          <w:p w14:paraId="41A47A7F" w14:textId="77777777" w:rsidR="00583E7B" w:rsidRPr="00923F21" w:rsidRDefault="00583E7B" w:rsidP="000136D4">
            <w:pPr>
              <w:ind w:left="33"/>
              <w:jc w:val="center"/>
              <w:rPr>
                <w:rFonts w:cs="Arial"/>
                <w:b/>
                <w:sz w:val="16"/>
                <w:szCs w:val="16"/>
              </w:rPr>
            </w:pPr>
            <w:r w:rsidRPr="00923F21">
              <w:rPr>
                <w:rFonts w:cs="Arial"/>
                <w:b/>
                <w:sz w:val="16"/>
                <w:szCs w:val="16"/>
              </w:rPr>
              <w:t>Credit</w:t>
            </w:r>
          </w:p>
          <w:p w14:paraId="5DFC24EA" w14:textId="77777777" w:rsidR="00583E7B" w:rsidRPr="00923F21" w:rsidRDefault="00583E7B" w:rsidP="000136D4">
            <w:pPr>
              <w:ind w:left="33"/>
              <w:jc w:val="center"/>
              <w:rPr>
                <w:rFonts w:cs="Arial"/>
                <w:b/>
                <w:sz w:val="16"/>
                <w:szCs w:val="16"/>
              </w:rPr>
            </w:pPr>
            <w:r w:rsidRPr="00923F21">
              <w:rPr>
                <w:rFonts w:cs="Arial"/>
                <w:b/>
                <w:sz w:val="16"/>
                <w:szCs w:val="16"/>
              </w:rPr>
              <w:t>65 &lt; C &lt; 74%</w:t>
            </w:r>
          </w:p>
        </w:tc>
        <w:tc>
          <w:tcPr>
            <w:tcW w:w="1435" w:type="dxa"/>
            <w:tcBorders>
              <w:top w:val="single" w:sz="4" w:space="0" w:color="000000"/>
              <w:left w:val="single" w:sz="4" w:space="0" w:color="000000"/>
              <w:bottom w:val="single" w:sz="4" w:space="0" w:color="000000"/>
              <w:right w:val="single" w:sz="4" w:space="0" w:color="000000"/>
            </w:tcBorders>
          </w:tcPr>
          <w:p w14:paraId="2D21097D" w14:textId="77777777" w:rsidR="00583E7B" w:rsidRPr="00923F21" w:rsidRDefault="00583E7B" w:rsidP="000136D4">
            <w:pPr>
              <w:ind w:left="33"/>
              <w:jc w:val="center"/>
              <w:rPr>
                <w:rFonts w:cs="Arial"/>
                <w:b/>
                <w:sz w:val="16"/>
                <w:szCs w:val="16"/>
              </w:rPr>
            </w:pPr>
            <w:r w:rsidRPr="00923F21">
              <w:rPr>
                <w:rFonts w:cs="Arial"/>
                <w:b/>
                <w:sz w:val="16"/>
                <w:szCs w:val="16"/>
              </w:rPr>
              <w:t>Distinction</w:t>
            </w:r>
          </w:p>
          <w:p w14:paraId="6775CA23" w14:textId="77777777" w:rsidR="00583E7B" w:rsidRPr="00923F21" w:rsidRDefault="00583E7B" w:rsidP="000136D4">
            <w:pPr>
              <w:ind w:left="33"/>
              <w:jc w:val="center"/>
              <w:rPr>
                <w:rFonts w:cs="Arial"/>
                <w:b/>
                <w:sz w:val="16"/>
                <w:szCs w:val="16"/>
              </w:rPr>
            </w:pPr>
            <w:r w:rsidRPr="00923F21">
              <w:rPr>
                <w:rFonts w:cs="Arial"/>
                <w:b/>
                <w:sz w:val="16"/>
                <w:szCs w:val="16"/>
              </w:rPr>
              <w:t>75 &lt; D &lt; 84%</w:t>
            </w:r>
          </w:p>
        </w:tc>
        <w:tc>
          <w:tcPr>
            <w:tcW w:w="1438" w:type="dxa"/>
            <w:tcBorders>
              <w:top w:val="single" w:sz="4" w:space="0" w:color="000000"/>
              <w:left w:val="single" w:sz="4" w:space="0" w:color="000000"/>
              <w:bottom w:val="single" w:sz="4" w:space="0" w:color="000000"/>
              <w:right w:val="single" w:sz="4" w:space="0" w:color="000000"/>
            </w:tcBorders>
          </w:tcPr>
          <w:p w14:paraId="2CD896BA" w14:textId="77777777" w:rsidR="00583E7B" w:rsidRPr="00923F21" w:rsidRDefault="00583E7B" w:rsidP="000136D4">
            <w:pPr>
              <w:ind w:left="33"/>
              <w:jc w:val="center"/>
              <w:rPr>
                <w:rFonts w:cs="Arial"/>
                <w:b/>
                <w:sz w:val="16"/>
                <w:szCs w:val="16"/>
              </w:rPr>
            </w:pPr>
            <w:r w:rsidRPr="00923F21">
              <w:rPr>
                <w:rFonts w:cs="Arial"/>
                <w:b/>
                <w:sz w:val="16"/>
                <w:szCs w:val="16"/>
              </w:rPr>
              <w:t>High Distinction</w:t>
            </w:r>
          </w:p>
          <w:p w14:paraId="0C1B3AA2" w14:textId="77777777" w:rsidR="00583E7B" w:rsidRPr="00923F21" w:rsidRDefault="00583E7B" w:rsidP="000136D4">
            <w:pPr>
              <w:ind w:left="33"/>
              <w:jc w:val="center"/>
              <w:rPr>
                <w:rFonts w:cs="Arial"/>
                <w:b/>
                <w:sz w:val="16"/>
                <w:szCs w:val="16"/>
              </w:rPr>
            </w:pPr>
            <w:r w:rsidRPr="00923F21">
              <w:rPr>
                <w:rFonts w:cs="Arial"/>
                <w:b/>
                <w:sz w:val="16"/>
                <w:szCs w:val="16"/>
              </w:rPr>
              <w:t>85 &lt; HD &lt; 100%</w:t>
            </w:r>
          </w:p>
        </w:tc>
        <w:tc>
          <w:tcPr>
            <w:tcW w:w="933" w:type="dxa"/>
            <w:tcBorders>
              <w:top w:val="single" w:sz="4" w:space="0" w:color="000000"/>
              <w:left w:val="single" w:sz="4" w:space="0" w:color="000000"/>
              <w:bottom w:val="single" w:sz="4" w:space="0" w:color="000000"/>
              <w:right w:val="single" w:sz="4" w:space="0" w:color="000000"/>
            </w:tcBorders>
          </w:tcPr>
          <w:p w14:paraId="0BA52342" w14:textId="77777777" w:rsidR="00583E7B" w:rsidRPr="00923F21" w:rsidRDefault="00583E7B" w:rsidP="000136D4">
            <w:pPr>
              <w:ind w:left="33"/>
              <w:jc w:val="center"/>
              <w:rPr>
                <w:rFonts w:cs="Arial"/>
                <w:b/>
                <w:sz w:val="16"/>
                <w:szCs w:val="16"/>
              </w:rPr>
            </w:pPr>
            <w:r w:rsidRPr="00923F21">
              <w:rPr>
                <w:rFonts w:cs="Arial"/>
                <w:b/>
                <w:sz w:val="16"/>
                <w:szCs w:val="16"/>
              </w:rPr>
              <w:t>Weighting</w:t>
            </w:r>
          </w:p>
        </w:tc>
      </w:tr>
      <w:tr w:rsidR="00583E7B" w14:paraId="452A28FB" w14:textId="77777777" w:rsidTr="000136D4">
        <w:tc>
          <w:tcPr>
            <w:tcW w:w="1510" w:type="dxa"/>
            <w:tcBorders>
              <w:top w:val="single" w:sz="4" w:space="0" w:color="000000"/>
              <w:left w:val="single" w:sz="4" w:space="0" w:color="000000"/>
              <w:bottom w:val="single" w:sz="4" w:space="0" w:color="000000"/>
              <w:right w:val="single" w:sz="4" w:space="0" w:color="000000"/>
            </w:tcBorders>
          </w:tcPr>
          <w:p w14:paraId="7B5BD15E" w14:textId="77777777" w:rsidR="00583E7B" w:rsidRPr="008321E9" w:rsidRDefault="00583E7B" w:rsidP="000136D4">
            <w:pPr>
              <w:rPr>
                <w:b/>
                <w:sz w:val="16"/>
                <w:szCs w:val="16"/>
              </w:rPr>
            </w:pPr>
            <w:r w:rsidRPr="008321E9">
              <w:rPr>
                <w:b/>
                <w:sz w:val="16"/>
                <w:szCs w:val="16"/>
              </w:rPr>
              <w:t>Selection of resource</w:t>
            </w:r>
          </w:p>
        </w:tc>
        <w:tc>
          <w:tcPr>
            <w:tcW w:w="1442" w:type="dxa"/>
            <w:tcBorders>
              <w:top w:val="single" w:sz="4" w:space="0" w:color="000000"/>
              <w:left w:val="single" w:sz="4" w:space="0" w:color="000000"/>
              <w:bottom w:val="single" w:sz="4" w:space="0" w:color="000000"/>
              <w:right w:val="single" w:sz="4" w:space="0" w:color="000000"/>
            </w:tcBorders>
          </w:tcPr>
          <w:p w14:paraId="0C7BF74A" w14:textId="77777777" w:rsidR="00583E7B" w:rsidRPr="002A12D0" w:rsidRDefault="00583E7B" w:rsidP="000136D4">
            <w:pPr>
              <w:jc w:val="center"/>
              <w:rPr>
                <w:sz w:val="16"/>
                <w:szCs w:val="16"/>
              </w:rPr>
            </w:pPr>
            <w:r w:rsidRPr="002A12D0">
              <w:rPr>
                <w:sz w:val="16"/>
                <w:szCs w:val="16"/>
              </w:rPr>
              <w:t>Ident</w:t>
            </w:r>
            <w:r>
              <w:rPr>
                <w:sz w:val="16"/>
                <w:szCs w:val="16"/>
              </w:rPr>
              <w:t>ifies and</w:t>
            </w:r>
            <w:r w:rsidRPr="002A12D0">
              <w:rPr>
                <w:sz w:val="16"/>
                <w:szCs w:val="16"/>
              </w:rPr>
              <w:t xml:space="preserve"> </w:t>
            </w:r>
            <w:r>
              <w:rPr>
                <w:sz w:val="16"/>
                <w:szCs w:val="16"/>
              </w:rPr>
              <w:t>selects a resource of limited</w:t>
            </w:r>
            <w:r w:rsidRPr="002A12D0">
              <w:rPr>
                <w:sz w:val="16"/>
                <w:szCs w:val="16"/>
              </w:rPr>
              <w:t xml:space="preserve"> relevance</w:t>
            </w:r>
          </w:p>
        </w:tc>
        <w:tc>
          <w:tcPr>
            <w:tcW w:w="1435" w:type="dxa"/>
            <w:tcBorders>
              <w:top w:val="single" w:sz="4" w:space="0" w:color="000000"/>
              <w:left w:val="single" w:sz="4" w:space="0" w:color="000000"/>
              <w:bottom w:val="single" w:sz="4" w:space="0" w:color="000000"/>
              <w:right w:val="single" w:sz="4" w:space="0" w:color="000000"/>
            </w:tcBorders>
          </w:tcPr>
          <w:p w14:paraId="0ACA9A58" w14:textId="77777777" w:rsidR="00583E7B" w:rsidRPr="002A12D0" w:rsidRDefault="00583E7B" w:rsidP="000136D4">
            <w:pPr>
              <w:jc w:val="center"/>
              <w:rPr>
                <w:sz w:val="16"/>
                <w:szCs w:val="16"/>
              </w:rPr>
            </w:pPr>
            <w:r>
              <w:rPr>
                <w:sz w:val="16"/>
                <w:szCs w:val="16"/>
              </w:rPr>
              <w:t>Identifies</w:t>
            </w:r>
            <w:r w:rsidRPr="002A12D0">
              <w:rPr>
                <w:sz w:val="16"/>
                <w:szCs w:val="16"/>
              </w:rPr>
              <w:t xml:space="preserve"> and s</w:t>
            </w:r>
            <w:r>
              <w:rPr>
                <w:sz w:val="16"/>
                <w:szCs w:val="16"/>
              </w:rPr>
              <w:t>elects</w:t>
            </w:r>
            <w:r w:rsidRPr="002A12D0">
              <w:rPr>
                <w:sz w:val="16"/>
                <w:szCs w:val="16"/>
              </w:rPr>
              <w:t xml:space="preserve"> a </w:t>
            </w:r>
            <w:r>
              <w:rPr>
                <w:sz w:val="16"/>
                <w:szCs w:val="16"/>
              </w:rPr>
              <w:t xml:space="preserve">mostly </w:t>
            </w:r>
            <w:r w:rsidRPr="002A12D0">
              <w:rPr>
                <w:sz w:val="16"/>
                <w:szCs w:val="16"/>
              </w:rPr>
              <w:t>relevant resource</w:t>
            </w:r>
          </w:p>
        </w:tc>
        <w:tc>
          <w:tcPr>
            <w:tcW w:w="1435" w:type="dxa"/>
            <w:tcBorders>
              <w:top w:val="single" w:sz="4" w:space="0" w:color="000000"/>
              <w:left w:val="single" w:sz="4" w:space="0" w:color="000000"/>
              <w:bottom w:val="single" w:sz="4" w:space="0" w:color="000000"/>
              <w:right w:val="single" w:sz="4" w:space="0" w:color="000000"/>
            </w:tcBorders>
          </w:tcPr>
          <w:p w14:paraId="198FC7E3" w14:textId="77777777" w:rsidR="00583E7B" w:rsidRPr="002A12D0" w:rsidRDefault="00583E7B" w:rsidP="000136D4">
            <w:pPr>
              <w:jc w:val="center"/>
              <w:rPr>
                <w:sz w:val="16"/>
                <w:szCs w:val="16"/>
              </w:rPr>
            </w:pPr>
            <w:r>
              <w:rPr>
                <w:sz w:val="16"/>
                <w:szCs w:val="16"/>
              </w:rPr>
              <w:t>Identifies and selects a relevant resource</w:t>
            </w:r>
          </w:p>
        </w:tc>
        <w:tc>
          <w:tcPr>
            <w:tcW w:w="1435" w:type="dxa"/>
            <w:tcBorders>
              <w:top w:val="single" w:sz="4" w:space="0" w:color="000000"/>
              <w:left w:val="single" w:sz="4" w:space="0" w:color="000000"/>
              <w:bottom w:val="single" w:sz="4" w:space="0" w:color="000000"/>
              <w:right w:val="single" w:sz="4" w:space="0" w:color="000000"/>
            </w:tcBorders>
          </w:tcPr>
          <w:p w14:paraId="3BF3FF7F" w14:textId="77777777" w:rsidR="00583E7B" w:rsidRPr="002A12D0" w:rsidRDefault="00583E7B" w:rsidP="000136D4">
            <w:pPr>
              <w:jc w:val="center"/>
              <w:rPr>
                <w:sz w:val="16"/>
                <w:szCs w:val="16"/>
              </w:rPr>
            </w:pPr>
            <w:r>
              <w:rPr>
                <w:sz w:val="16"/>
                <w:szCs w:val="16"/>
              </w:rPr>
              <w:t xml:space="preserve">Identifies and selects </w:t>
            </w:r>
            <w:r w:rsidRPr="002A12D0">
              <w:rPr>
                <w:sz w:val="16"/>
                <w:szCs w:val="16"/>
              </w:rPr>
              <w:t>a highly relevant resource</w:t>
            </w:r>
          </w:p>
        </w:tc>
        <w:tc>
          <w:tcPr>
            <w:tcW w:w="1438" w:type="dxa"/>
            <w:tcBorders>
              <w:top w:val="single" w:sz="4" w:space="0" w:color="000000"/>
              <w:left w:val="single" w:sz="4" w:space="0" w:color="000000"/>
              <w:bottom w:val="single" w:sz="4" w:space="0" w:color="000000"/>
              <w:right w:val="single" w:sz="4" w:space="0" w:color="000000"/>
            </w:tcBorders>
          </w:tcPr>
          <w:p w14:paraId="1A9D6F2D" w14:textId="77777777" w:rsidR="00583E7B" w:rsidRPr="002A12D0" w:rsidRDefault="00583E7B" w:rsidP="000136D4">
            <w:pPr>
              <w:jc w:val="center"/>
              <w:rPr>
                <w:sz w:val="16"/>
                <w:szCs w:val="16"/>
              </w:rPr>
            </w:pPr>
            <w:r>
              <w:rPr>
                <w:sz w:val="16"/>
                <w:szCs w:val="16"/>
              </w:rPr>
              <w:t xml:space="preserve">Discernibly identifies and selects </w:t>
            </w:r>
            <w:r w:rsidRPr="002A12D0">
              <w:rPr>
                <w:sz w:val="16"/>
                <w:szCs w:val="16"/>
              </w:rPr>
              <w:t>a highly relevant resource</w:t>
            </w:r>
          </w:p>
        </w:tc>
        <w:tc>
          <w:tcPr>
            <w:tcW w:w="933" w:type="dxa"/>
            <w:tcBorders>
              <w:top w:val="single" w:sz="4" w:space="0" w:color="000000"/>
              <w:left w:val="single" w:sz="4" w:space="0" w:color="000000"/>
              <w:bottom w:val="single" w:sz="4" w:space="0" w:color="000000"/>
              <w:right w:val="single" w:sz="4" w:space="0" w:color="000000"/>
            </w:tcBorders>
          </w:tcPr>
          <w:p w14:paraId="24BEC221" w14:textId="77777777" w:rsidR="00583E7B" w:rsidRPr="002A12D0" w:rsidRDefault="00583E7B" w:rsidP="000136D4">
            <w:pPr>
              <w:jc w:val="center"/>
              <w:rPr>
                <w:sz w:val="16"/>
                <w:szCs w:val="16"/>
              </w:rPr>
            </w:pPr>
            <w:r>
              <w:rPr>
                <w:sz w:val="16"/>
                <w:szCs w:val="16"/>
              </w:rPr>
              <w:t>2.5</w:t>
            </w:r>
            <w:r w:rsidRPr="002A12D0">
              <w:rPr>
                <w:sz w:val="16"/>
                <w:szCs w:val="16"/>
              </w:rPr>
              <w:t>%</w:t>
            </w:r>
          </w:p>
        </w:tc>
      </w:tr>
      <w:tr w:rsidR="00583E7B" w14:paraId="6789F696" w14:textId="77777777" w:rsidTr="000136D4">
        <w:tc>
          <w:tcPr>
            <w:tcW w:w="1510" w:type="dxa"/>
            <w:tcBorders>
              <w:top w:val="single" w:sz="4" w:space="0" w:color="000000"/>
              <w:left w:val="single" w:sz="4" w:space="0" w:color="000000"/>
              <w:bottom w:val="single" w:sz="4" w:space="0" w:color="000000"/>
              <w:right w:val="single" w:sz="4" w:space="0" w:color="000000"/>
            </w:tcBorders>
          </w:tcPr>
          <w:p w14:paraId="7D72F979" w14:textId="77777777" w:rsidR="00583E7B" w:rsidRPr="008321E9" w:rsidRDefault="00583E7B" w:rsidP="000136D4">
            <w:pPr>
              <w:rPr>
                <w:b/>
                <w:sz w:val="16"/>
                <w:szCs w:val="16"/>
              </w:rPr>
            </w:pPr>
            <w:r w:rsidRPr="008321E9">
              <w:rPr>
                <w:b/>
                <w:sz w:val="16"/>
                <w:szCs w:val="16"/>
              </w:rPr>
              <w:t>Analysis of accessibility, relevance and suitability</w:t>
            </w:r>
          </w:p>
        </w:tc>
        <w:tc>
          <w:tcPr>
            <w:tcW w:w="1442" w:type="dxa"/>
            <w:tcBorders>
              <w:top w:val="single" w:sz="4" w:space="0" w:color="000000"/>
              <w:left w:val="single" w:sz="4" w:space="0" w:color="000000"/>
              <w:bottom w:val="single" w:sz="4" w:space="0" w:color="000000"/>
              <w:right w:val="single" w:sz="4" w:space="0" w:color="000000"/>
            </w:tcBorders>
          </w:tcPr>
          <w:p w14:paraId="3ED9A46C" w14:textId="77777777" w:rsidR="00583E7B" w:rsidRPr="002A12D0" w:rsidRDefault="00583E7B" w:rsidP="000136D4">
            <w:pPr>
              <w:jc w:val="center"/>
              <w:rPr>
                <w:sz w:val="16"/>
                <w:szCs w:val="16"/>
              </w:rPr>
            </w:pPr>
            <w:r>
              <w:rPr>
                <w:sz w:val="16"/>
                <w:szCs w:val="16"/>
              </w:rPr>
              <w:t>Limited analysis</w:t>
            </w:r>
          </w:p>
        </w:tc>
        <w:tc>
          <w:tcPr>
            <w:tcW w:w="1435" w:type="dxa"/>
            <w:tcBorders>
              <w:top w:val="single" w:sz="4" w:space="0" w:color="000000"/>
              <w:left w:val="single" w:sz="4" w:space="0" w:color="000000"/>
              <w:bottom w:val="single" w:sz="4" w:space="0" w:color="000000"/>
              <w:right w:val="single" w:sz="4" w:space="0" w:color="000000"/>
            </w:tcBorders>
          </w:tcPr>
          <w:p w14:paraId="3E859AAD" w14:textId="77777777" w:rsidR="00583E7B" w:rsidRPr="002A12D0" w:rsidRDefault="00583E7B" w:rsidP="000136D4">
            <w:pPr>
              <w:jc w:val="center"/>
              <w:rPr>
                <w:sz w:val="16"/>
                <w:szCs w:val="16"/>
              </w:rPr>
            </w:pPr>
            <w:r>
              <w:rPr>
                <w:sz w:val="16"/>
                <w:szCs w:val="16"/>
              </w:rPr>
              <w:t>Analysis of relevance and suitability</w:t>
            </w:r>
          </w:p>
        </w:tc>
        <w:tc>
          <w:tcPr>
            <w:tcW w:w="1435" w:type="dxa"/>
            <w:tcBorders>
              <w:top w:val="single" w:sz="4" w:space="0" w:color="000000"/>
              <w:left w:val="single" w:sz="4" w:space="0" w:color="000000"/>
              <w:bottom w:val="single" w:sz="4" w:space="0" w:color="000000"/>
              <w:right w:val="single" w:sz="4" w:space="0" w:color="000000"/>
            </w:tcBorders>
          </w:tcPr>
          <w:p w14:paraId="268BB7B7" w14:textId="77777777" w:rsidR="00583E7B" w:rsidRPr="002A12D0" w:rsidRDefault="00583E7B" w:rsidP="000136D4">
            <w:pPr>
              <w:jc w:val="center"/>
              <w:rPr>
                <w:sz w:val="16"/>
                <w:szCs w:val="16"/>
              </w:rPr>
            </w:pPr>
            <w:r>
              <w:rPr>
                <w:sz w:val="16"/>
                <w:szCs w:val="16"/>
              </w:rPr>
              <w:t>Clear analysis of relevance and suitability</w:t>
            </w:r>
          </w:p>
        </w:tc>
        <w:tc>
          <w:tcPr>
            <w:tcW w:w="1435" w:type="dxa"/>
            <w:tcBorders>
              <w:top w:val="single" w:sz="4" w:space="0" w:color="000000"/>
              <w:left w:val="single" w:sz="4" w:space="0" w:color="000000"/>
              <w:bottom w:val="single" w:sz="4" w:space="0" w:color="000000"/>
              <w:right w:val="single" w:sz="4" w:space="0" w:color="000000"/>
            </w:tcBorders>
          </w:tcPr>
          <w:p w14:paraId="5913AB4A" w14:textId="77777777" w:rsidR="00583E7B" w:rsidRPr="002A12D0" w:rsidRDefault="00583E7B" w:rsidP="000136D4">
            <w:pPr>
              <w:jc w:val="center"/>
              <w:rPr>
                <w:sz w:val="16"/>
                <w:szCs w:val="16"/>
              </w:rPr>
            </w:pPr>
            <w:r>
              <w:rPr>
                <w:sz w:val="16"/>
                <w:szCs w:val="16"/>
              </w:rPr>
              <w:t>Clear and comprehensive, analysis of relevance and suitability</w:t>
            </w:r>
          </w:p>
        </w:tc>
        <w:tc>
          <w:tcPr>
            <w:tcW w:w="1438" w:type="dxa"/>
            <w:tcBorders>
              <w:top w:val="single" w:sz="4" w:space="0" w:color="000000"/>
              <w:left w:val="single" w:sz="4" w:space="0" w:color="000000"/>
              <w:bottom w:val="single" w:sz="4" w:space="0" w:color="000000"/>
              <w:right w:val="single" w:sz="4" w:space="0" w:color="000000"/>
            </w:tcBorders>
          </w:tcPr>
          <w:p w14:paraId="629F1E7B" w14:textId="77777777" w:rsidR="00583E7B" w:rsidRPr="002A12D0" w:rsidRDefault="00583E7B" w:rsidP="000136D4">
            <w:pPr>
              <w:jc w:val="center"/>
              <w:rPr>
                <w:sz w:val="16"/>
                <w:szCs w:val="16"/>
              </w:rPr>
            </w:pPr>
            <w:r>
              <w:rPr>
                <w:sz w:val="16"/>
                <w:szCs w:val="16"/>
              </w:rPr>
              <w:t>Comprehensive, clear and insightful analysis of relevance and suitability</w:t>
            </w:r>
          </w:p>
        </w:tc>
        <w:tc>
          <w:tcPr>
            <w:tcW w:w="933" w:type="dxa"/>
            <w:tcBorders>
              <w:top w:val="single" w:sz="4" w:space="0" w:color="000000"/>
              <w:left w:val="single" w:sz="4" w:space="0" w:color="000000"/>
              <w:bottom w:val="single" w:sz="4" w:space="0" w:color="000000"/>
              <w:right w:val="single" w:sz="4" w:space="0" w:color="000000"/>
            </w:tcBorders>
          </w:tcPr>
          <w:p w14:paraId="0D614468" w14:textId="77777777" w:rsidR="00583E7B" w:rsidRPr="002A12D0" w:rsidRDefault="00583E7B" w:rsidP="000136D4">
            <w:pPr>
              <w:jc w:val="center"/>
              <w:rPr>
                <w:sz w:val="16"/>
                <w:szCs w:val="16"/>
              </w:rPr>
            </w:pPr>
            <w:r>
              <w:rPr>
                <w:sz w:val="16"/>
                <w:szCs w:val="16"/>
              </w:rPr>
              <w:t>5</w:t>
            </w:r>
            <w:r w:rsidRPr="002A12D0">
              <w:rPr>
                <w:sz w:val="16"/>
                <w:szCs w:val="16"/>
              </w:rPr>
              <w:t>%</w:t>
            </w:r>
          </w:p>
        </w:tc>
      </w:tr>
      <w:tr w:rsidR="00583E7B" w14:paraId="0B28D6EE" w14:textId="77777777" w:rsidTr="000136D4">
        <w:tc>
          <w:tcPr>
            <w:tcW w:w="1510" w:type="dxa"/>
            <w:tcBorders>
              <w:top w:val="single" w:sz="4" w:space="0" w:color="000000"/>
              <w:left w:val="single" w:sz="4" w:space="0" w:color="000000"/>
              <w:bottom w:val="single" w:sz="4" w:space="0" w:color="000000"/>
              <w:right w:val="single" w:sz="4" w:space="0" w:color="000000"/>
            </w:tcBorders>
          </w:tcPr>
          <w:p w14:paraId="32C5CA29" w14:textId="77777777" w:rsidR="00583E7B" w:rsidRPr="008321E9" w:rsidRDefault="00583E7B" w:rsidP="000136D4">
            <w:pPr>
              <w:rPr>
                <w:b/>
                <w:sz w:val="16"/>
                <w:szCs w:val="16"/>
              </w:rPr>
            </w:pPr>
            <w:r w:rsidRPr="008321E9">
              <w:rPr>
                <w:b/>
                <w:sz w:val="16"/>
                <w:szCs w:val="16"/>
              </w:rPr>
              <w:t>Connec</w:t>
            </w:r>
            <w:r>
              <w:rPr>
                <w:b/>
                <w:sz w:val="16"/>
                <w:szCs w:val="16"/>
              </w:rPr>
              <w:t>tion to curriculum &amp; methodology</w:t>
            </w:r>
          </w:p>
        </w:tc>
        <w:tc>
          <w:tcPr>
            <w:tcW w:w="1442" w:type="dxa"/>
            <w:tcBorders>
              <w:top w:val="single" w:sz="4" w:space="0" w:color="000000"/>
              <w:left w:val="single" w:sz="4" w:space="0" w:color="000000"/>
              <w:bottom w:val="single" w:sz="4" w:space="0" w:color="000000"/>
              <w:right w:val="single" w:sz="4" w:space="0" w:color="000000"/>
            </w:tcBorders>
          </w:tcPr>
          <w:p w14:paraId="68E94F6C" w14:textId="77777777" w:rsidR="00583E7B" w:rsidRPr="002A12D0" w:rsidRDefault="00583E7B" w:rsidP="000136D4">
            <w:pPr>
              <w:jc w:val="center"/>
              <w:rPr>
                <w:sz w:val="16"/>
                <w:szCs w:val="16"/>
              </w:rPr>
            </w:pPr>
            <w:r>
              <w:rPr>
                <w:sz w:val="16"/>
                <w:szCs w:val="16"/>
              </w:rPr>
              <w:t>Constructs limited connections to curriculum and pedagogy</w:t>
            </w:r>
          </w:p>
        </w:tc>
        <w:tc>
          <w:tcPr>
            <w:tcW w:w="1435" w:type="dxa"/>
            <w:tcBorders>
              <w:top w:val="single" w:sz="4" w:space="0" w:color="000000"/>
              <w:left w:val="single" w:sz="4" w:space="0" w:color="000000"/>
              <w:bottom w:val="single" w:sz="4" w:space="0" w:color="000000"/>
              <w:right w:val="single" w:sz="4" w:space="0" w:color="000000"/>
            </w:tcBorders>
          </w:tcPr>
          <w:p w14:paraId="5998DBD7" w14:textId="77777777" w:rsidR="00583E7B" w:rsidRPr="002A12D0" w:rsidRDefault="00583E7B" w:rsidP="000136D4">
            <w:pPr>
              <w:jc w:val="center"/>
              <w:rPr>
                <w:sz w:val="16"/>
                <w:szCs w:val="16"/>
              </w:rPr>
            </w:pPr>
            <w:r>
              <w:rPr>
                <w:sz w:val="16"/>
                <w:szCs w:val="16"/>
              </w:rPr>
              <w:t>Constructs connections to curriculum and pedagogy</w:t>
            </w:r>
          </w:p>
        </w:tc>
        <w:tc>
          <w:tcPr>
            <w:tcW w:w="1435" w:type="dxa"/>
            <w:tcBorders>
              <w:top w:val="single" w:sz="4" w:space="0" w:color="000000"/>
              <w:left w:val="single" w:sz="4" w:space="0" w:color="000000"/>
              <w:bottom w:val="single" w:sz="4" w:space="0" w:color="000000"/>
              <w:right w:val="single" w:sz="4" w:space="0" w:color="000000"/>
            </w:tcBorders>
          </w:tcPr>
          <w:p w14:paraId="5836BFBD" w14:textId="77777777" w:rsidR="00583E7B" w:rsidRPr="002A12D0" w:rsidRDefault="00583E7B" w:rsidP="000136D4">
            <w:pPr>
              <w:jc w:val="center"/>
              <w:rPr>
                <w:sz w:val="16"/>
                <w:szCs w:val="16"/>
              </w:rPr>
            </w:pPr>
            <w:r>
              <w:rPr>
                <w:sz w:val="16"/>
                <w:szCs w:val="16"/>
              </w:rPr>
              <w:t>Constructs clear connections to curriculum and pedagogy</w:t>
            </w:r>
          </w:p>
        </w:tc>
        <w:tc>
          <w:tcPr>
            <w:tcW w:w="1435" w:type="dxa"/>
            <w:tcBorders>
              <w:top w:val="single" w:sz="4" w:space="0" w:color="000000"/>
              <w:left w:val="single" w:sz="4" w:space="0" w:color="000000"/>
              <w:bottom w:val="single" w:sz="4" w:space="0" w:color="000000"/>
              <w:right w:val="single" w:sz="4" w:space="0" w:color="000000"/>
            </w:tcBorders>
          </w:tcPr>
          <w:p w14:paraId="4766A06F" w14:textId="77777777" w:rsidR="00583E7B" w:rsidRPr="002A12D0" w:rsidRDefault="00583E7B" w:rsidP="000136D4">
            <w:pPr>
              <w:jc w:val="center"/>
              <w:rPr>
                <w:sz w:val="16"/>
                <w:szCs w:val="16"/>
              </w:rPr>
            </w:pPr>
            <w:r>
              <w:rPr>
                <w:sz w:val="16"/>
                <w:szCs w:val="16"/>
              </w:rPr>
              <w:t>Constructs clear and detailed connections to curriculum and pedagogy</w:t>
            </w:r>
          </w:p>
        </w:tc>
        <w:tc>
          <w:tcPr>
            <w:tcW w:w="1438" w:type="dxa"/>
            <w:tcBorders>
              <w:top w:val="single" w:sz="4" w:space="0" w:color="000000"/>
              <w:left w:val="single" w:sz="4" w:space="0" w:color="000000"/>
              <w:bottom w:val="single" w:sz="4" w:space="0" w:color="000000"/>
              <w:right w:val="single" w:sz="4" w:space="0" w:color="000000"/>
            </w:tcBorders>
          </w:tcPr>
          <w:p w14:paraId="472595F2" w14:textId="77777777" w:rsidR="00583E7B" w:rsidRPr="002A12D0" w:rsidRDefault="00583E7B" w:rsidP="000136D4">
            <w:pPr>
              <w:jc w:val="center"/>
              <w:rPr>
                <w:sz w:val="16"/>
                <w:szCs w:val="16"/>
              </w:rPr>
            </w:pPr>
            <w:r>
              <w:rPr>
                <w:sz w:val="16"/>
                <w:szCs w:val="16"/>
              </w:rPr>
              <w:t>Constructs clear, detailed and perceptive connections to curriculum and pedagogy</w:t>
            </w:r>
          </w:p>
        </w:tc>
        <w:tc>
          <w:tcPr>
            <w:tcW w:w="933" w:type="dxa"/>
            <w:tcBorders>
              <w:top w:val="single" w:sz="4" w:space="0" w:color="000000"/>
              <w:left w:val="single" w:sz="4" w:space="0" w:color="000000"/>
              <w:bottom w:val="single" w:sz="4" w:space="0" w:color="000000"/>
              <w:right w:val="single" w:sz="4" w:space="0" w:color="000000"/>
            </w:tcBorders>
          </w:tcPr>
          <w:p w14:paraId="07F633AB" w14:textId="77777777" w:rsidR="00583E7B" w:rsidRPr="002A12D0" w:rsidRDefault="00583E7B" w:rsidP="000136D4">
            <w:pPr>
              <w:jc w:val="center"/>
              <w:rPr>
                <w:sz w:val="16"/>
                <w:szCs w:val="16"/>
              </w:rPr>
            </w:pPr>
            <w:r>
              <w:rPr>
                <w:sz w:val="16"/>
                <w:szCs w:val="16"/>
              </w:rPr>
              <w:t>5</w:t>
            </w:r>
            <w:r w:rsidRPr="002A12D0">
              <w:rPr>
                <w:sz w:val="16"/>
                <w:szCs w:val="16"/>
              </w:rPr>
              <w:t>%</w:t>
            </w:r>
          </w:p>
        </w:tc>
      </w:tr>
      <w:tr w:rsidR="00583E7B" w14:paraId="47965A8E" w14:textId="77777777" w:rsidTr="000136D4">
        <w:tc>
          <w:tcPr>
            <w:tcW w:w="1510" w:type="dxa"/>
            <w:tcBorders>
              <w:top w:val="single" w:sz="4" w:space="0" w:color="000000"/>
              <w:left w:val="single" w:sz="4" w:space="0" w:color="000000"/>
              <w:bottom w:val="single" w:sz="4" w:space="0" w:color="000000"/>
              <w:right w:val="single" w:sz="4" w:space="0" w:color="000000"/>
            </w:tcBorders>
          </w:tcPr>
          <w:p w14:paraId="38CA1797" w14:textId="77777777" w:rsidR="00583E7B" w:rsidRPr="008321E9" w:rsidRDefault="00583E7B" w:rsidP="000136D4">
            <w:pPr>
              <w:rPr>
                <w:b/>
                <w:sz w:val="16"/>
                <w:szCs w:val="16"/>
              </w:rPr>
            </w:pPr>
            <w:r w:rsidRPr="008321E9">
              <w:rPr>
                <w:b/>
                <w:sz w:val="16"/>
                <w:szCs w:val="16"/>
              </w:rPr>
              <w:t>Communication</w:t>
            </w:r>
          </w:p>
        </w:tc>
        <w:tc>
          <w:tcPr>
            <w:tcW w:w="1442" w:type="dxa"/>
            <w:tcBorders>
              <w:top w:val="single" w:sz="4" w:space="0" w:color="000000"/>
              <w:left w:val="single" w:sz="4" w:space="0" w:color="000000"/>
              <w:bottom w:val="single" w:sz="4" w:space="0" w:color="000000"/>
              <w:right w:val="single" w:sz="4" w:space="0" w:color="000000"/>
            </w:tcBorders>
          </w:tcPr>
          <w:p w14:paraId="3BF7DF5C" w14:textId="77777777" w:rsidR="00583E7B" w:rsidRPr="002A12D0" w:rsidRDefault="00583E7B" w:rsidP="000136D4">
            <w:pPr>
              <w:jc w:val="center"/>
              <w:rPr>
                <w:sz w:val="16"/>
                <w:szCs w:val="16"/>
              </w:rPr>
            </w:pPr>
            <w:r>
              <w:rPr>
                <w:sz w:val="16"/>
                <w:szCs w:val="16"/>
              </w:rPr>
              <w:t>Limited c</w:t>
            </w:r>
            <w:r w:rsidRPr="002A12D0">
              <w:rPr>
                <w:sz w:val="16"/>
                <w:szCs w:val="16"/>
              </w:rPr>
              <w:t>ommunication of findings</w:t>
            </w:r>
          </w:p>
        </w:tc>
        <w:tc>
          <w:tcPr>
            <w:tcW w:w="1435" w:type="dxa"/>
            <w:tcBorders>
              <w:top w:val="single" w:sz="4" w:space="0" w:color="000000"/>
              <w:left w:val="single" w:sz="4" w:space="0" w:color="000000"/>
              <w:bottom w:val="single" w:sz="4" w:space="0" w:color="000000"/>
              <w:right w:val="single" w:sz="4" w:space="0" w:color="000000"/>
            </w:tcBorders>
          </w:tcPr>
          <w:p w14:paraId="2F40AEA7" w14:textId="77777777" w:rsidR="00583E7B" w:rsidRPr="002A12D0" w:rsidRDefault="00583E7B" w:rsidP="000136D4">
            <w:pPr>
              <w:jc w:val="center"/>
              <w:rPr>
                <w:sz w:val="16"/>
                <w:szCs w:val="16"/>
              </w:rPr>
            </w:pPr>
            <w:r w:rsidRPr="002A12D0">
              <w:rPr>
                <w:sz w:val="16"/>
                <w:szCs w:val="16"/>
              </w:rPr>
              <w:t>Communicates</w:t>
            </w:r>
            <w:r>
              <w:rPr>
                <w:sz w:val="16"/>
                <w:szCs w:val="16"/>
              </w:rPr>
              <w:t xml:space="preserve"> </w:t>
            </w:r>
            <w:r w:rsidRPr="002A12D0">
              <w:rPr>
                <w:sz w:val="16"/>
                <w:szCs w:val="16"/>
              </w:rPr>
              <w:t>a range of findings with the use of IC</w:t>
            </w:r>
            <w:r>
              <w:rPr>
                <w:sz w:val="16"/>
                <w:szCs w:val="16"/>
              </w:rPr>
              <w:t>L</w:t>
            </w:r>
            <w:r w:rsidRPr="002A12D0">
              <w:rPr>
                <w:sz w:val="16"/>
                <w:szCs w:val="16"/>
              </w:rPr>
              <w:t>T</w:t>
            </w:r>
          </w:p>
        </w:tc>
        <w:tc>
          <w:tcPr>
            <w:tcW w:w="1435" w:type="dxa"/>
            <w:tcBorders>
              <w:top w:val="single" w:sz="4" w:space="0" w:color="000000"/>
              <w:left w:val="single" w:sz="4" w:space="0" w:color="000000"/>
              <w:bottom w:val="single" w:sz="4" w:space="0" w:color="000000"/>
              <w:right w:val="single" w:sz="4" w:space="0" w:color="000000"/>
            </w:tcBorders>
          </w:tcPr>
          <w:p w14:paraId="5F791B87" w14:textId="77777777" w:rsidR="00583E7B" w:rsidRPr="002A12D0" w:rsidRDefault="00583E7B" w:rsidP="000136D4">
            <w:pPr>
              <w:jc w:val="center"/>
              <w:rPr>
                <w:sz w:val="16"/>
                <w:szCs w:val="16"/>
              </w:rPr>
            </w:pPr>
            <w:r w:rsidRPr="002A12D0">
              <w:rPr>
                <w:sz w:val="16"/>
                <w:szCs w:val="16"/>
              </w:rPr>
              <w:t>Communicates a range of findings effectiv</w:t>
            </w:r>
            <w:r>
              <w:rPr>
                <w:sz w:val="16"/>
                <w:szCs w:val="16"/>
              </w:rPr>
              <w:t>ely with appropriate use of ICLT</w:t>
            </w:r>
          </w:p>
        </w:tc>
        <w:tc>
          <w:tcPr>
            <w:tcW w:w="1435" w:type="dxa"/>
            <w:tcBorders>
              <w:top w:val="single" w:sz="4" w:space="0" w:color="000000"/>
              <w:left w:val="single" w:sz="4" w:space="0" w:color="000000"/>
              <w:bottom w:val="single" w:sz="4" w:space="0" w:color="000000"/>
              <w:right w:val="single" w:sz="4" w:space="0" w:color="000000"/>
            </w:tcBorders>
          </w:tcPr>
          <w:p w14:paraId="4421E23C" w14:textId="77777777" w:rsidR="00583E7B" w:rsidRPr="002A12D0" w:rsidRDefault="00583E7B" w:rsidP="000136D4">
            <w:pPr>
              <w:jc w:val="center"/>
              <w:rPr>
                <w:sz w:val="16"/>
                <w:szCs w:val="16"/>
              </w:rPr>
            </w:pPr>
            <w:r w:rsidRPr="002A12D0">
              <w:rPr>
                <w:sz w:val="16"/>
                <w:szCs w:val="16"/>
              </w:rPr>
              <w:t>Communicates a range of finding</w:t>
            </w:r>
            <w:r>
              <w:rPr>
                <w:sz w:val="16"/>
                <w:szCs w:val="16"/>
              </w:rPr>
              <w:t>s highly effectively with appropriate use of ICLT</w:t>
            </w:r>
          </w:p>
        </w:tc>
        <w:tc>
          <w:tcPr>
            <w:tcW w:w="1438" w:type="dxa"/>
            <w:tcBorders>
              <w:top w:val="single" w:sz="4" w:space="0" w:color="000000"/>
              <w:left w:val="single" w:sz="4" w:space="0" w:color="000000"/>
              <w:bottom w:val="single" w:sz="4" w:space="0" w:color="000000"/>
              <w:right w:val="single" w:sz="4" w:space="0" w:color="000000"/>
            </w:tcBorders>
          </w:tcPr>
          <w:p w14:paraId="62F0E99E" w14:textId="77777777" w:rsidR="00583E7B" w:rsidRPr="002A12D0" w:rsidRDefault="00583E7B" w:rsidP="000136D4">
            <w:pPr>
              <w:jc w:val="center"/>
              <w:rPr>
                <w:sz w:val="16"/>
                <w:szCs w:val="16"/>
              </w:rPr>
            </w:pPr>
            <w:r w:rsidRPr="002A12D0">
              <w:rPr>
                <w:sz w:val="16"/>
                <w:szCs w:val="16"/>
              </w:rPr>
              <w:t>Communicates a range of findings highly effectively wit</w:t>
            </w:r>
            <w:r>
              <w:rPr>
                <w:sz w:val="16"/>
                <w:szCs w:val="16"/>
              </w:rPr>
              <w:t>h highly appropriate use of ICLT</w:t>
            </w:r>
          </w:p>
        </w:tc>
        <w:tc>
          <w:tcPr>
            <w:tcW w:w="933" w:type="dxa"/>
            <w:tcBorders>
              <w:top w:val="single" w:sz="4" w:space="0" w:color="000000"/>
              <w:left w:val="single" w:sz="4" w:space="0" w:color="000000"/>
              <w:bottom w:val="single" w:sz="4" w:space="0" w:color="000000"/>
              <w:right w:val="single" w:sz="4" w:space="0" w:color="000000"/>
            </w:tcBorders>
          </w:tcPr>
          <w:p w14:paraId="4F3F39B9" w14:textId="77777777" w:rsidR="00583E7B" w:rsidRPr="002A12D0" w:rsidRDefault="00583E7B" w:rsidP="000136D4">
            <w:pPr>
              <w:jc w:val="center"/>
              <w:rPr>
                <w:sz w:val="16"/>
                <w:szCs w:val="16"/>
              </w:rPr>
            </w:pPr>
            <w:r>
              <w:rPr>
                <w:sz w:val="16"/>
                <w:szCs w:val="16"/>
              </w:rPr>
              <w:t>2.5</w:t>
            </w:r>
            <w:r w:rsidRPr="002A12D0">
              <w:rPr>
                <w:sz w:val="16"/>
                <w:szCs w:val="16"/>
              </w:rPr>
              <w:t>%</w:t>
            </w:r>
          </w:p>
        </w:tc>
      </w:tr>
      <w:tr w:rsidR="00583E7B" w14:paraId="44EB65EB" w14:textId="77777777" w:rsidTr="000136D4">
        <w:tblPrEx>
          <w:tblLook w:val="04A0" w:firstRow="1" w:lastRow="0" w:firstColumn="1" w:lastColumn="0" w:noHBand="0" w:noVBand="1"/>
        </w:tblPrEx>
        <w:trPr>
          <w:gridBefore w:val="5"/>
          <w:wBefore w:w="7257" w:type="dxa"/>
        </w:trPr>
        <w:tc>
          <w:tcPr>
            <w:tcW w:w="1438" w:type="dxa"/>
          </w:tcPr>
          <w:p w14:paraId="6E1CC616" w14:textId="77777777" w:rsidR="00583E7B" w:rsidRPr="00923F21" w:rsidRDefault="00583E7B" w:rsidP="000136D4">
            <w:pPr>
              <w:jc w:val="right"/>
            </w:pPr>
            <w:r>
              <w:t>Result:</w:t>
            </w:r>
          </w:p>
        </w:tc>
        <w:tc>
          <w:tcPr>
            <w:tcW w:w="933" w:type="dxa"/>
          </w:tcPr>
          <w:p w14:paraId="60E8254A" w14:textId="77777777" w:rsidR="00583E7B" w:rsidRPr="00923F21" w:rsidRDefault="00583E7B" w:rsidP="000136D4">
            <w:pPr>
              <w:jc w:val="right"/>
            </w:pPr>
            <w:r>
              <w:t>15%</w:t>
            </w:r>
          </w:p>
        </w:tc>
      </w:tr>
      <w:tr w:rsidR="00583E7B" w14:paraId="034B3793" w14:textId="77777777" w:rsidTr="000136D4">
        <w:tblPrEx>
          <w:tblLook w:val="04A0" w:firstRow="1" w:lastRow="0" w:firstColumn="1" w:lastColumn="0" w:noHBand="0" w:noVBand="1"/>
        </w:tblPrEx>
        <w:tc>
          <w:tcPr>
            <w:tcW w:w="1510" w:type="dxa"/>
          </w:tcPr>
          <w:p w14:paraId="15B1C0A4" w14:textId="77777777" w:rsidR="00583E7B" w:rsidRPr="00C27590" w:rsidRDefault="00583E7B" w:rsidP="000136D4">
            <w:pPr>
              <w:rPr>
                <w:b/>
                <w:sz w:val="16"/>
                <w:szCs w:val="16"/>
              </w:rPr>
            </w:pPr>
            <w:r w:rsidRPr="00C27590">
              <w:rPr>
                <w:b/>
                <w:sz w:val="16"/>
                <w:szCs w:val="16"/>
              </w:rPr>
              <w:t>Discussion board</w:t>
            </w:r>
          </w:p>
        </w:tc>
        <w:tc>
          <w:tcPr>
            <w:tcW w:w="8118" w:type="dxa"/>
            <w:gridSpan w:val="6"/>
          </w:tcPr>
          <w:p w14:paraId="5F380601" w14:textId="77777777" w:rsidR="00583E7B" w:rsidRDefault="00583E7B" w:rsidP="000136D4">
            <w:pPr>
              <w:jc w:val="right"/>
            </w:pPr>
            <w:r>
              <w:t>5%</w:t>
            </w:r>
          </w:p>
        </w:tc>
      </w:tr>
      <w:tr w:rsidR="00583E7B" w14:paraId="41E1FCC6" w14:textId="77777777" w:rsidTr="000136D4">
        <w:tblPrEx>
          <w:tblLook w:val="04A0" w:firstRow="1" w:lastRow="0" w:firstColumn="1" w:lastColumn="0" w:noHBand="0" w:noVBand="1"/>
        </w:tblPrEx>
        <w:tc>
          <w:tcPr>
            <w:tcW w:w="1510" w:type="dxa"/>
          </w:tcPr>
          <w:p w14:paraId="779FA265" w14:textId="77777777" w:rsidR="00583E7B" w:rsidRPr="00923F21" w:rsidRDefault="00583E7B" w:rsidP="000136D4">
            <w:r w:rsidRPr="00923F21">
              <w:t>Comments</w:t>
            </w:r>
            <w:r>
              <w:t>:</w:t>
            </w:r>
          </w:p>
          <w:p w14:paraId="4225EC0A" w14:textId="77777777" w:rsidR="00583E7B" w:rsidRPr="00923F21" w:rsidRDefault="00583E7B" w:rsidP="000136D4"/>
        </w:tc>
        <w:tc>
          <w:tcPr>
            <w:tcW w:w="8118" w:type="dxa"/>
            <w:gridSpan w:val="6"/>
          </w:tcPr>
          <w:p w14:paraId="43DD030A" w14:textId="77777777" w:rsidR="00583E7B" w:rsidRDefault="00583E7B" w:rsidP="000136D4"/>
          <w:p w14:paraId="765BCBBA" w14:textId="77777777" w:rsidR="00583E7B" w:rsidRDefault="00583E7B" w:rsidP="000136D4"/>
          <w:p w14:paraId="10CA7472" w14:textId="0EC35335" w:rsidR="00583E7B" w:rsidRPr="00923F21" w:rsidRDefault="00583E7B" w:rsidP="000136D4"/>
        </w:tc>
      </w:tr>
    </w:tbl>
    <w:p w14:paraId="15AB1D16" w14:textId="77777777" w:rsidR="00583E7B" w:rsidRPr="008321E9" w:rsidRDefault="00583E7B" w:rsidP="00583E7B">
      <w:pPr>
        <w:rPr>
          <w:sz w:val="28"/>
          <w:szCs w:val="28"/>
        </w:rPr>
      </w:pPr>
      <w:r w:rsidRPr="008321E9">
        <w:rPr>
          <w:sz w:val="28"/>
          <w:szCs w:val="28"/>
        </w:rPr>
        <w:lastRenderedPageBreak/>
        <w:t>Analysis Table</w:t>
      </w:r>
    </w:p>
    <w:tbl>
      <w:tblPr>
        <w:tblStyle w:val="TableGrid"/>
        <w:tblW w:w="0" w:type="auto"/>
        <w:tblLook w:val="04A0" w:firstRow="1" w:lastRow="0" w:firstColumn="1" w:lastColumn="0" w:noHBand="0" w:noVBand="1"/>
      </w:tblPr>
      <w:tblGrid>
        <w:gridCol w:w="2122"/>
        <w:gridCol w:w="6894"/>
      </w:tblGrid>
      <w:tr w:rsidR="00583E7B" w14:paraId="188E2BCF" w14:textId="77777777" w:rsidTr="000136D4">
        <w:tc>
          <w:tcPr>
            <w:tcW w:w="2122" w:type="dxa"/>
          </w:tcPr>
          <w:p w14:paraId="608790B5" w14:textId="77777777" w:rsidR="00583E7B" w:rsidRPr="008321E9" w:rsidRDefault="00583E7B" w:rsidP="000136D4">
            <w:pPr>
              <w:jc w:val="right"/>
              <w:rPr>
                <w:b/>
              </w:rPr>
            </w:pPr>
          </w:p>
          <w:p w14:paraId="4BC7670A" w14:textId="77777777" w:rsidR="00583E7B" w:rsidRPr="008321E9" w:rsidRDefault="00583E7B" w:rsidP="000136D4">
            <w:pPr>
              <w:jc w:val="right"/>
              <w:rPr>
                <w:b/>
              </w:rPr>
            </w:pPr>
            <w:r w:rsidRPr="008321E9">
              <w:rPr>
                <w:b/>
              </w:rPr>
              <w:t>Resource</w:t>
            </w:r>
          </w:p>
        </w:tc>
        <w:tc>
          <w:tcPr>
            <w:tcW w:w="6894" w:type="dxa"/>
          </w:tcPr>
          <w:p w14:paraId="3BC8CB11" w14:textId="77777777" w:rsidR="00583E7B" w:rsidRDefault="00583E7B" w:rsidP="000136D4">
            <w:pPr>
              <w:rPr>
                <w:i/>
              </w:rPr>
            </w:pPr>
          </w:p>
          <w:p w14:paraId="21231C40" w14:textId="435BD338" w:rsidR="00583E7B" w:rsidRPr="00F43C81" w:rsidRDefault="00277977" w:rsidP="000136D4">
            <w:r w:rsidRPr="00F43C81">
              <w:t>The Feynman Lectures on Physics</w:t>
            </w:r>
            <w:r w:rsidR="00FF6216" w:rsidRPr="00F43C81">
              <w:t>, Volume I, Chapter 1.</w:t>
            </w:r>
            <w:r w:rsidR="00517EEB">
              <w:t xml:space="preserve"> Atoms in Motion.</w:t>
            </w:r>
          </w:p>
          <w:p w14:paraId="697E8BA3" w14:textId="36BFD75D" w:rsidR="00277977" w:rsidRPr="00F43C81" w:rsidRDefault="00277977" w:rsidP="000136D4"/>
          <w:p w14:paraId="45235C2B" w14:textId="5221C4C1" w:rsidR="00277977" w:rsidRPr="00F43C81" w:rsidRDefault="00FF6216" w:rsidP="000136D4">
            <w:r w:rsidRPr="00F43C81">
              <w:t>Although the l</w:t>
            </w:r>
            <w:r w:rsidR="00277977" w:rsidRPr="00F43C81">
              <w:t xml:space="preserve">ectures </w:t>
            </w:r>
            <w:r w:rsidRPr="00F43C81">
              <w:t xml:space="preserve">as a whole where </w:t>
            </w:r>
            <w:r w:rsidR="00AF1C4B">
              <w:t>taught over the</w:t>
            </w:r>
            <w:r w:rsidR="00517EEB">
              <w:t xml:space="preserve"> first two years of a </w:t>
            </w:r>
            <w:r w:rsidR="00AF1C4B">
              <w:t>university degree</w:t>
            </w:r>
            <w:r w:rsidR="00517EEB">
              <w:t xml:space="preserve"> in undergraduate physics</w:t>
            </w:r>
            <w:r w:rsidR="00AF1C4B">
              <w:t>,</w:t>
            </w:r>
            <w:r w:rsidR="00517EEB">
              <w:t xml:space="preserve"> Feynman begins with a broad introduction to science (with a focus on chemistry), and it is this introduction I think is a relevant resource.</w:t>
            </w:r>
            <w:r w:rsidR="00AF1C4B">
              <w:t xml:space="preserve"> </w:t>
            </w:r>
            <w:r w:rsidR="00517EEB">
              <w:t>T</w:t>
            </w:r>
            <w:r w:rsidRPr="00F43C81">
              <w:t>he first chapter</w:t>
            </w:r>
            <w:r w:rsidR="00517EEB">
              <w:t xml:space="preserve">, “Atoms in Motion” forms this introduction to chemistry and </w:t>
            </w:r>
            <w:r w:rsidRPr="00F43C81">
              <w:t>is a good resource for chemistry teachers</w:t>
            </w:r>
            <w:r w:rsidR="00517EEB">
              <w:t xml:space="preserve"> I think</w:t>
            </w:r>
            <w:r w:rsidR="00AF1C4B">
              <w:t>, and that the first three chapters form not only a good introduction to science for a layperson, but also an example of some really inspirationally thoughtful, concise, and eloquent teaching</w:t>
            </w:r>
            <w:r w:rsidR="00517EEB">
              <w:t xml:space="preserve"> (writing)</w:t>
            </w:r>
            <w:r w:rsidR="00AF1C4B">
              <w:t xml:space="preserve"> that could inspire teachers to adopt his style of exposition</w:t>
            </w:r>
            <w:r w:rsidRPr="00F43C81">
              <w:t>.</w:t>
            </w:r>
            <w:r w:rsidR="00AF1C4B">
              <w:t xml:space="preserve"> I’ll give some examples below and in my talk about what I mean exactly by this.</w:t>
            </w:r>
          </w:p>
          <w:p w14:paraId="5AFF8B41" w14:textId="77777777" w:rsidR="00583E7B" w:rsidRPr="008321E9" w:rsidRDefault="00583E7B" w:rsidP="000136D4">
            <w:pPr>
              <w:rPr>
                <w:i/>
              </w:rPr>
            </w:pPr>
          </w:p>
        </w:tc>
      </w:tr>
      <w:tr w:rsidR="00583E7B" w14:paraId="244F6599" w14:textId="77777777" w:rsidTr="000136D4">
        <w:tc>
          <w:tcPr>
            <w:tcW w:w="2122" w:type="dxa"/>
          </w:tcPr>
          <w:p w14:paraId="21336CF5" w14:textId="77777777" w:rsidR="00583E7B" w:rsidRPr="008321E9" w:rsidRDefault="00583E7B" w:rsidP="000136D4">
            <w:pPr>
              <w:jc w:val="right"/>
              <w:rPr>
                <w:b/>
              </w:rPr>
            </w:pPr>
          </w:p>
          <w:p w14:paraId="4CE7B4CA" w14:textId="77777777" w:rsidR="00583E7B" w:rsidRPr="008321E9" w:rsidRDefault="00583E7B" w:rsidP="000136D4">
            <w:pPr>
              <w:jc w:val="right"/>
              <w:rPr>
                <w:b/>
              </w:rPr>
            </w:pPr>
            <w:r w:rsidRPr="008321E9">
              <w:rPr>
                <w:b/>
              </w:rPr>
              <w:t>Link</w:t>
            </w:r>
          </w:p>
        </w:tc>
        <w:tc>
          <w:tcPr>
            <w:tcW w:w="6894" w:type="dxa"/>
          </w:tcPr>
          <w:p w14:paraId="700F95A7" w14:textId="77777777" w:rsidR="00583E7B" w:rsidRPr="00F43C81" w:rsidRDefault="00583E7B" w:rsidP="000136D4"/>
          <w:p w14:paraId="20ED1391" w14:textId="3D1E7A72" w:rsidR="00583E7B" w:rsidRPr="00F43C81" w:rsidRDefault="00277977" w:rsidP="000136D4">
            <w:r w:rsidRPr="00F43C81">
              <w:t>http://www.feynmanlectures.caltech.edu/</w:t>
            </w:r>
          </w:p>
          <w:p w14:paraId="42146ABB" w14:textId="77777777" w:rsidR="00583E7B" w:rsidRPr="00F43C81" w:rsidRDefault="00583E7B" w:rsidP="000136D4"/>
        </w:tc>
      </w:tr>
      <w:tr w:rsidR="00583E7B" w14:paraId="5004BC75" w14:textId="77777777" w:rsidTr="000136D4">
        <w:tc>
          <w:tcPr>
            <w:tcW w:w="2122" w:type="dxa"/>
          </w:tcPr>
          <w:p w14:paraId="14F95402" w14:textId="77777777" w:rsidR="00583E7B" w:rsidRPr="008321E9" w:rsidRDefault="00583E7B" w:rsidP="000136D4">
            <w:pPr>
              <w:jc w:val="right"/>
              <w:rPr>
                <w:b/>
              </w:rPr>
            </w:pPr>
          </w:p>
          <w:p w14:paraId="3C1897C2" w14:textId="77777777" w:rsidR="00583E7B" w:rsidRPr="008321E9" w:rsidRDefault="00583E7B" w:rsidP="000136D4">
            <w:pPr>
              <w:jc w:val="right"/>
              <w:rPr>
                <w:b/>
              </w:rPr>
            </w:pPr>
            <w:r w:rsidRPr="008321E9">
              <w:rPr>
                <w:b/>
              </w:rPr>
              <w:t>Accessibility</w:t>
            </w:r>
          </w:p>
        </w:tc>
        <w:tc>
          <w:tcPr>
            <w:tcW w:w="6894" w:type="dxa"/>
          </w:tcPr>
          <w:p w14:paraId="1682CED0" w14:textId="77777777" w:rsidR="00583E7B" w:rsidRPr="00F43C81" w:rsidRDefault="00583E7B" w:rsidP="000136D4"/>
          <w:p w14:paraId="3344B32B" w14:textId="6A14C887" w:rsidR="00583E7B" w:rsidRPr="00F43C81" w:rsidRDefault="00277977" w:rsidP="000136D4">
            <w:r w:rsidRPr="00F43C81">
              <w:t xml:space="preserve">Technically the rights to </w:t>
            </w:r>
            <w:r w:rsidR="00FF6216" w:rsidRPr="00F43C81">
              <w:t>The Feynman Lectures on Physics belong to the California Institute of Technology (Caltech), and so copying and reproducing the work is not allowed but it is free to access and read online, so bringing it up in a web browser in class should be allowed I should think.</w:t>
            </w:r>
          </w:p>
          <w:p w14:paraId="6D9A3589" w14:textId="77777777" w:rsidR="00583E7B" w:rsidRPr="00F43C81" w:rsidRDefault="00583E7B" w:rsidP="000136D4"/>
        </w:tc>
      </w:tr>
      <w:tr w:rsidR="00583E7B" w14:paraId="6A689EC5" w14:textId="77777777" w:rsidTr="000136D4">
        <w:tc>
          <w:tcPr>
            <w:tcW w:w="2122" w:type="dxa"/>
          </w:tcPr>
          <w:p w14:paraId="60BEBFBA" w14:textId="77777777" w:rsidR="00583E7B" w:rsidRPr="008321E9" w:rsidRDefault="00583E7B" w:rsidP="000136D4">
            <w:pPr>
              <w:jc w:val="right"/>
              <w:rPr>
                <w:b/>
              </w:rPr>
            </w:pPr>
          </w:p>
          <w:p w14:paraId="10CE19A4" w14:textId="77777777" w:rsidR="00583E7B" w:rsidRPr="008321E9" w:rsidRDefault="00583E7B" w:rsidP="000136D4">
            <w:pPr>
              <w:jc w:val="right"/>
              <w:rPr>
                <w:b/>
              </w:rPr>
            </w:pPr>
            <w:r w:rsidRPr="008321E9">
              <w:rPr>
                <w:b/>
              </w:rPr>
              <w:t>Relevance</w:t>
            </w:r>
          </w:p>
        </w:tc>
        <w:tc>
          <w:tcPr>
            <w:tcW w:w="6894" w:type="dxa"/>
          </w:tcPr>
          <w:p w14:paraId="4DBA5E9A" w14:textId="77777777" w:rsidR="00583E7B" w:rsidRPr="00F43C81" w:rsidRDefault="00583E7B" w:rsidP="000136D4"/>
          <w:p w14:paraId="01CC125D" w14:textId="600D58E8" w:rsidR="00583E7B" w:rsidRPr="00F43C81" w:rsidRDefault="004458D1" w:rsidP="000136D4">
            <w:r w:rsidRPr="00F43C81">
              <w:t>The way I envision this being relevant is mostly in terms of providing exemplars of teaching methodology</w:t>
            </w:r>
            <w:r w:rsidR="00517EEB">
              <w:t xml:space="preserve"> --- content pedagogy knowledge, essentially</w:t>
            </w:r>
            <w:r w:rsidRPr="00F43C81">
              <w:t>. Direct quotes and examples taken directly from the lectures could also be included to add flavour to a topic, especially if students are particularly interested in history or have heard of Feynman.</w:t>
            </w:r>
          </w:p>
          <w:p w14:paraId="0CE93A27" w14:textId="77777777" w:rsidR="00583E7B" w:rsidRPr="00F43C81" w:rsidRDefault="00583E7B" w:rsidP="000136D4"/>
        </w:tc>
      </w:tr>
      <w:tr w:rsidR="00583E7B" w14:paraId="0CB6B6C3" w14:textId="77777777" w:rsidTr="000136D4">
        <w:tc>
          <w:tcPr>
            <w:tcW w:w="2122" w:type="dxa"/>
          </w:tcPr>
          <w:p w14:paraId="4A9FC9AB" w14:textId="77777777" w:rsidR="00583E7B" w:rsidRPr="008321E9" w:rsidRDefault="00583E7B" w:rsidP="000136D4">
            <w:pPr>
              <w:jc w:val="right"/>
              <w:rPr>
                <w:b/>
              </w:rPr>
            </w:pPr>
          </w:p>
          <w:p w14:paraId="6F087511" w14:textId="77777777" w:rsidR="00583E7B" w:rsidRPr="008321E9" w:rsidRDefault="00583E7B" w:rsidP="000136D4">
            <w:pPr>
              <w:jc w:val="right"/>
              <w:rPr>
                <w:b/>
              </w:rPr>
            </w:pPr>
            <w:r w:rsidRPr="008321E9">
              <w:rPr>
                <w:b/>
              </w:rPr>
              <w:t>Suitability</w:t>
            </w:r>
          </w:p>
        </w:tc>
        <w:tc>
          <w:tcPr>
            <w:tcW w:w="6894" w:type="dxa"/>
          </w:tcPr>
          <w:p w14:paraId="3280061C" w14:textId="77777777" w:rsidR="00583E7B" w:rsidRPr="00F76CFC" w:rsidRDefault="00583E7B" w:rsidP="000136D4"/>
          <w:p w14:paraId="4765405F" w14:textId="77777777" w:rsidR="004458D1" w:rsidRPr="00F76CFC" w:rsidRDefault="004458D1" w:rsidP="000136D4">
            <w:r w:rsidRPr="00F76CFC">
              <w:t xml:space="preserve">Feynman’s general introduction and description of science as a whole is directly relevant to science inquiry skills --- deepening an understanding of the logical process underlying the steps of making a hypothesis, designing an experiment, and matching observed phenomena to your hypothesis, and what to do when it does not match (celebrate!). </w:t>
            </w:r>
          </w:p>
          <w:p w14:paraId="057948F4" w14:textId="77777777" w:rsidR="004458D1" w:rsidRPr="00F76CFC" w:rsidRDefault="004458D1" w:rsidP="000136D4"/>
          <w:p w14:paraId="7477409A" w14:textId="7B18948B" w:rsidR="00583E7B" w:rsidRDefault="004458D1" w:rsidP="000136D4">
            <w:r w:rsidRPr="00F76CFC">
              <w:t>Some of the introduction to chemistry in the first few sections</w:t>
            </w:r>
            <w:r w:rsidR="009D305B">
              <w:t xml:space="preserve"> contribute towards science understanding on a variety of Stage 1 SACE Topics</w:t>
            </w:r>
            <w:r w:rsidR="005A0AD2">
              <w:t>, and could be used as examples or just inspiration for a teacher to make their own examples based on the ideas Feynman introduces and the way he introduced them</w:t>
            </w:r>
            <w:r w:rsidR="009D305B">
              <w:t xml:space="preserve">. For example, Feynman’s </w:t>
            </w:r>
            <w:r w:rsidRPr="00F76CFC">
              <w:t>“atomic hypothesis”</w:t>
            </w:r>
            <w:r w:rsidR="009D305B">
              <w:t xml:space="preserve"> that “all things are made of atoms” matches exactly with the first science understanding point of subtopic 1.2</w:t>
            </w:r>
            <w:r w:rsidR="00800128">
              <w:t>: Atomic s</w:t>
            </w:r>
            <w:r w:rsidR="005A0AD2">
              <w:t xml:space="preserve">tructure </w:t>
            </w:r>
            <w:r w:rsidR="009D305B">
              <w:t>“All materials consist of atoms</w:t>
            </w:r>
            <w:r w:rsidR="005A0AD2">
              <w:t>”</w:t>
            </w:r>
            <w:r w:rsidR="009D305B">
              <w:t xml:space="preserve">. Feynman’s example of salt dissolving in water (Figure 1-6) could be used to illustrate concepts related </w:t>
            </w:r>
            <w:r w:rsidR="00800128">
              <w:t xml:space="preserve">“Ionic Bonding” in subtopic 2.2: Bonding between atoms, and solubility in water as in subtopic 4.2: Solutions of ionic substances. Later on Feynman’s introduction to chemical reactions </w:t>
            </w:r>
            <w:r w:rsidR="005A0AD2">
              <w:t xml:space="preserve">has a discussion of combustion (Figure 1-8) that </w:t>
            </w:r>
            <w:r w:rsidR="00800128">
              <w:t>relate</w:t>
            </w:r>
            <w:r w:rsidR="005A0AD2">
              <w:t>s</w:t>
            </w:r>
            <w:r w:rsidR="00800128">
              <w:t xml:space="preserve"> to </w:t>
            </w:r>
            <w:r w:rsidR="005A0AD2">
              <w:t>subtopic</w:t>
            </w:r>
            <w:r w:rsidR="00800128">
              <w:t xml:space="preserve"> 6.1: Concepts of oxidation and reduction, and so on.</w:t>
            </w:r>
            <w:r w:rsidR="00583E7B" w:rsidRPr="00F76CFC">
              <w:t xml:space="preserve"> </w:t>
            </w:r>
          </w:p>
          <w:p w14:paraId="790797A5" w14:textId="33519E96" w:rsidR="00517EEB" w:rsidRDefault="00517EEB" w:rsidP="000136D4"/>
          <w:p w14:paraId="5D3DADE4" w14:textId="77777777" w:rsidR="00517EEB" w:rsidRPr="00F76CFC" w:rsidRDefault="00517EEB" w:rsidP="000136D4"/>
          <w:p w14:paraId="1DF64B62" w14:textId="77777777" w:rsidR="00583E7B" w:rsidRPr="00F76CFC" w:rsidRDefault="00583E7B" w:rsidP="000136D4"/>
        </w:tc>
      </w:tr>
      <w:tr w:rsidR="00583E7B" w14:paraId="241C46D5" w14:textId="77777777" w:rsidTr="000136D4">
        <w:tc>
          <w:tcPr>
            <w:tcW w:w="2122" w:type="dxa"/>
          </w:tcPr>
          <w:p w14:paraId="588E073E" w14:textId="77777777" w:rsidR="00583E7B" w:rsidRPr="008321E9" w:rsidRDefault="00583E7B" w:rsidP="000136D4">
            <w:pPr>
              <w:jc w:val="right"/>
              <w:rPr>
                <w:b/>
              </w:rPr>
            </w:pPr>
          </w:p>
          <w:p w14:paraId="5BB8BC66" w14:textId="77777777" w:rsidR="00583E7B" w:rsidRPr="008321E9" w:rsidRDefault="00583E7B" w:rsidP="000136D4">
            <w:pPr>
              <w:jc w:val="right"/>
              <w:rPr>
                <w:b/>
              </w:rPr>
            </w:pPr>
            <w:r w:rsidRPr="008321E9">
              <w:rPr>
                <w:b/>
              </w:rPr>
              <w:t>Application</w:t>
            </w:r>
          </w:p>
        </w:tc>
        <w:tc>
          <w:tcPr>
            <w:tcW w:w="6894" w:type="dxa"/>
          </w:tcPr>
          <w:p w14:paraId="48B291D9" w14:textId="28F3B0E8" w:rsidR="009D305B" w:rsidRPr="00F7789F" w:rsidRDefault="009D305B" w:rsidP="000136D4"/>
          <w:p w14:paraId="6F6774DB" w14:textId="69F2DB47" w:rsidR="00F7789F" w:rsidRDefault="00F7789F" w:rsidP="000136D4">
            <w:r>
              <w:t>I’ll give two examples, one broad and general and one specific with an example of particular activity:</w:t>
            </w:r>
          </w:p>
          <w:p w14:paraId="2882DBE7" w14:textId="77777777" w:rsidR="00F7789F" w:rsidRDefault="00F7789F" w:rsidP="000136D4"/>
          <w:p w14:paraId="532C386E" w14:textId="65CF2A23" w:rsidR="00F7789F" w:rsidRDefault="0047417D" w:rsidP="0047417D">
            <w:pPr>
              <w:pStyle w:val="ListParagraph"/>
              <w:numPr>
                <w:ilvl w:val="0"/>
                <w:numId w:val="4"/>
              </w:numPr>
            </w:pPr>
            <w:r>
              <w:t>Broad and General application:</w:t>
            </w:r>
          </w:p>
          <w:p w14:paraId="57906C3C" w14:textId="5A952CBC" w:rsidR="0047417D" w:rsidRDefault="0047417D" w:rsidP="0047417D">
            <w:pPr>
              <w:pStyle w:val="ListParagraph"/>
            </w:pPr>
          </w:p>
          <w:p w14:paraId="27E21A90" w14:textId="1412B092" w:rsidR="0047417D" w:rsidRDefault="006C00CA" w:rsidP="0047417D">
            <w:r>
              <w:t xml:space="preserve">One of the most striking things for me about Feynman’s writing is how he provides caveats with his figures and explanations. Often, particularly from our perspective as teachers, we consider these kinds of caveats “obvious”, but I think there is potentially a lot of educational value in being explicit about these things. I’ll </w:t>
            </w:r>
            <w:r w:rsidR="00B35B21">
              <w:t xml:space="preserve">provide a few quotes corresponding to descriptions of the first few figures in Chapter 1 </w:t>
            </w:r>
            <w:r>
              <w:t xml:space="preserve">to clarify exactly what I mean. </w:t>
            </w:r>
          </w:p>
          <w:p w14:paraId="2C0C7AC7" w14:textId="75CEF570" w:rsidR="00B35B21" w:rsidRDefault="00B35B21" w:rsidP="0047417D"/>
          <w:p w14:paraId="1FAABF07" w14:textId="3B5E548C" w:rsidR="00B35B21" w:rsidRDefault="00B35B21" w:rsidP="0047417D">
            <w:r>
              <w:t>“</w:t>
            </w:r>
            <w:r w:rsidRPr="00B35B21">
              <w:t>Fig. </w:t>
            </w:r>
            <w:hyperlink r:id="rId7" w:anchor="Ch1-F1" w:history="1">
              <w:r w:rsidRPr="00B35B21">
                <w:t>1–1</w:t>
              </w:r>
            </w:hyperlink>
            <w:r w:rsidRPr="00B35B21">
              <w:t>. This is a picture of water magnified a billion times, but idealized in several ways. In the first place, the particles are drawn in a simple manner with sharp edges, which is inaccurate. Secondly, for simplicity, they are sketched almost schematically in a two-dimensional arrangement, but of course they are moving around in three dimensions.</w:t>
            </w:r>
            <w:r>
              <w:t>”</w:t>
            </w:r>
          </w:p>
          <w:p w14:paraId="34AA6C52" w14:textId="090A482E" w:rsidR="00B35B21" w:rsidRDefault="00B35B21" w:rsidP="0047417D"/>
          <w:p w14:paraId="6A7FBDA3" w14:textId="0AD211BA" w:rsidR="00B35B21" w:rsidRDefault="00B35B21" w:rsidP="0047417D">
            <w:r>
              <w:t xml:space="preserve">He is precise (gives the exact magnification, for example), and </w:t>
            </w:r>
            <w:r w:rsidR="00E55CEB">
              <w:t>hints at concepts that will come later, “atoms don’t actually have defined boundaries” while at the same time essentially saying “but we’ll use that simplification to talk about them for now”. The 2-dimensional simplification vs a 3-dimensional structure is nice too</w:t>
            </w:r>
            <w:r w:rsidR="00753173" w:rsidRPr="00753173">
              <w:t xml:space="preserve">, </w:t>
            </w:r>
            <w:r w:rsidR="00753173">
              <w:t>and he brings up again later in Figure 1-4 “</w:t>
            </w:r>
            <w:r w:rsidR="00753173" w:rsidRPr="00753173">
              <w:t>Fig. </w:t>
            </w:r>
            <w:hyperlink r:id="rId8" w:anchor="Ch1-F4" w:history="1">
              <w:r w:rsidR="00753173" w:rsidRPr="00753173">
                <w:t>1–4</w:t>
              </w:r>
            </w:hyperlink>
            <w:r w:rsidR="00753173" w:rsidRPr="00753173">
              <w:t>: the molecules lock into a new pattern which is </w:t>
            </w:r>
            <w:r w:rsidR="00753173" w:rsidRPr="00753173">
              <w:rPr>
                <w:i/>
                <w:iCs/>
              </w:rPr>
              <w:t>ice</w:t>
            </w:r>
            <w:r w:rsidR="00753173" w:rsidRPr="00753173">
              <w:t>. This particular schematic diagram of ice is wrong because it is in two dimensions, but it is right qualitatively</w:t>
            </w:r>
            <w:r w:rsidR="00753173" w:rsidRPr="00753173">
              <w:t>”</w:t>
            </w:r>
            <w:r w:rsidR="00E55CEB">
              <w:t xml:space="preserve">. Another point that Feynman doesn’t mention here, although he brings it up later on is that this figure is a still image, while in reality these molecules and atoms would be constantly moving around and vibrating, bouncing off each other and rotating in three dimensions. </w:t>
            </w:r>
            <w:r w:rsidR="00753173">
              <w:t>I think there is educational value in using simplifications, but there is also educational values in explaining to the students that the representations you are giving them ARE simplifications, and describing the ways in which they are simplifications, to help scaffold their future learning when they are then asked to develop their understanding beyond the simplification.</w:t>
            </w:r>
          </w:p>
          <w:p w14:paraId="5820413F" w14:textId="6873F80F" w:rsidR="00753173" w:rsidRDefault="00753173" w:rsidP="0047417D"/>
          <w:p w14:paraId="4400400D" w14:textId="147B3470" w:rsidR="00753173" w:rsidRPr="00753173" w:rsidRDefault="00753173" w:rsidP="0047417D">
            <w:r>
              <w:t>Another small example, but a personal favourite: “</w:t>
            </w:r>
            <w:r w:rsidRPr="00753173">
              <w:t>In Fig. </w:t>
            </w:r>
            <w:hyperlink r:id="rId9" w:anchor="Ch1-F2" w:history="1">
              <w:r w:rsidRPr="00753173">
                <w:t>1–2</w:t>
              </w:r>
            </w:hyperlink>
            <w:r w:rsidRPr="00753173">
              <w:t> we have a picture of steam. This picture of steam fails in one respect: at ordinary atmospheric pressure there certainly would not be as many as three water molecules in this figure. Most squares this size would contain none—but we accidentally have two and a half or three in the picture (just so it would not be completely blank).</w:t>
            </w:r>
            <w:r>
              <w:t>”</w:t>
            </w:r>
          </w:p>
          <w:p w14:paraId="737BD247" w14:textId="37FED33A" w:rsidR="00B35B21" w:rsidRDefault="00B35B21" w:rsidP="0047417D"/>
          <w:p w14:paraId="45FA3CEC" w14:textId="4C2FA51A" w:rsidR="00753173" w:rsidRDefault="00753173" w:rsidP="0047417D">
            <w:r>
              <w:t>One last example, “</w:t>
            </w:r>
            <w:r w:rsidRPr="00753173">
              <w:t>Figure </w:t>
            </w:r>
            <w:hyperlink r:id="rId10" w:anchor="Ch1-F7" w:history="1">
              <w:r w:rsidRPr="00753173">
                <w:t>1–7</w:t>
              </w:r>
            </w:hyperlink>
            <w:r w:rsidRPr="00753173">
              <w:t> is an illustration of the three-dimensional structure of common salt, sodium chloride. Strictly speaking, the crystal is not made of atoms, but of what we call </w:t>
            </w:r>
            <w:r w:rsidRPr="00753173">
              <w:rPr>
                <w:i/>
                <w:iCs/>
              </w:rPr>
              <w:t>ions</w:t>
            </w:r>
            <w:r w:rsidRPr="00753173">
              <w:t>. An ion is an atom which either has a few extra electrons or has lost a few electrons.</w:t>
            </w:r>
            <w:r w:rsidRPr="00753173">
              <w:t>”</w:t>
            </w:r>
            <w:r>
              <w:t xml:space="preserve">. This is a fantastic example of how a new concept, in this case ions, can be introduced through these caveats. </w:t>
            </w:r>
            <w:r w:rsidR="009024BC">
              <w:t>Including caveats with your explanations naturally leads to questions: and if your students are asking you questions, you’ve already won. Even if they don’t though, it is still representing a fundamental quality of science in that all our theories are models for reality, useful but not absolute.</w:t>
            </w:r>
          </w:p>
          <w:p w14:paraId="1A648FBF" w14:textId="77777777" w:rsidR="00753173" w:rsidRDefault="00753173" w:rsidP="0047417D"/>
          <w:p w14:paraId="65F6FBB9" w14:textId="77777777" w:rsidR="0047417D" w:rsidRDefault="0047417D" w:rsidP="0047417D"/>
          <w:p w14:paraId="55E0E93C" w14:textId="647C1138" w:rsidR="0047417D" w:rsidRDefault="0047417D" w:rsidP="000136D4">
            <w:pPr>
              <w:pStyle w:val="ListParagraph"/>
              <w:numPr>
                <w:ilvl w:val="0"/>
                <w:numId w:val="4"/>
              </w:numPr>
            </w:pPr>
            <w:r>
              <w:t>A specific (SIS) application:</w:t>
            </w:r>
          </w:p>
          <w:p w14:paraId="06AD6CAF" w14:textId="77777777" w:rsidR="0047417D" w:rsidRDefault="0047417D" w:rsidP="0047417D"/>
          <w:p w14:paraId="28F04D7B" w14:textId="26653BBE" w:rsidR="00F7789F" w:rsidRDefault="00863685" w:rsidP="000136D4">
            <w:r w:rsidRPr="00F7789F">
              <w:t>I’ll start with one of my favourite quotes from this text: “the sole test of the validity of any idea is experiment”. Feynman repeats</w:t>
            </w:r>
            <w:r w:rsidR="00F7789F" w:rsidRPr="00F7789F">
              <w:t xml:space="preserve"> this several times, stating that it is what he believes to be the “fundamental hypothesis of science”. He explains what he means by this in more detail by contradicting a statement often made by </w:t>
            </w:r>
            <w:r w:rsidR="00883672" w:rsidRPr="00F7789F">
              <w:t>philosophers</w:t>
            </w:r>
            <w:bookmarkStart w:id="0" w:name="_GoBack"/>
            <w:bookmarkEnd w:id="0"/>
            <w:r w:rsidR="00F7789F" w:rsidRPr="00F7789F">
              <w:t xml:space="preserve"> that “one of the fundamental requisites of science is that whenever you set up the same conditions, the same thing must happen” in a section of text that when I first read it, made me laugh out loud and forward a quote of it to everyone I thought might be interested, I’ll include that text here:</w:t>
            </w:r>
          </w:p>
          <w:p w14:paraId="4BBDFF4F" w14:textId="12AB5A4F" w:rsidR="00F7789F" w:rsidRPr="00F7789F" w:rsidRDefault="00F7789F" w:rsidP="000136D4">
            <w:r>
              <w:t>“…</w:t>
            </w:r>
            <w:r w:rsidRPr="00F7789F">
              <w:t> it is fundamental to the scientific effort that if an experiment is performed in, say, Stockholm, and then the same experiment is done in, say, Quito, the </w:t>
            </w:r>
            <w:r w:rsidRPr="00F7789F">
              <w:rPr>
                <w:i/>
                <w:iCs/>
              </w:rPr>
              <w:t>same results</w:t>
            </w:r>
            <w:r w:rsidRPr="00F7789F">
              <w:t> must occur. That is quite false. It is not necessary that </w:t>
            </w:r>
            <w:r w:rsidRPr="00F7789F">
              <w:rPr>
                <w:i/>
                <w:iCs/>
              </w:rPr>
              <w:t>science</w:t>
            </w:r>
            <w:r w:rsidRPr="00F7789F">
              <w:t> do that; it may be a </w:t>
            </w:r>
            <w:r w:rsidRPr="00F7789F">
              <w:rPr>
                <w:i/>
                <w:iCs/>
              </w:rPr>
              <w:t>fact of experience</w:t>
            </w:r>
            <w:r w:rsidRPr="00F7789F">
              <w:t>, but it is not necessary. For example, if one of the experiments is to look out at the sky and see the aurora borealis in Stockholm, you do not see it in Quito; that is a different phenomenon. “But,” you say, “that is something that has to do with the outside; can you close yourself up in a box in Stockholm and pull down the shade and get any difference?” Surely. If we take a pendulum on a universal joint, and pull it out and let go, then the pendulum will swing almost in a plane, but not quite. Slowly the plane keeps changing in Stockholm, but not in Quito. The blinds are down, too. The fact that this happened does not bring on the destruction of science.</w:t>
            </w:r>
            <w:r w:rsidRPr="00F7789F">
              <w:t>”</w:t>
            </w:r>
          </w:p>
          <w:p w14:paraId="17D3A476" w14:textId="627B0B2D" w:rsidR="00F7789F" w:rsidRDefault="006C00CA" w:rsidP="000136D4">
            <w:r>
              <w:t xml:space="preserve">(this is a quote from Chapter 2, section 3: Quantum physics) </w:t>
            </w:r>
          </w:p>
          <w:p w14:paraId="6036984B" w14:textId="77777777" w:rsidR="006C00CA" w:rsidRPr="00F7789F" w:rsidRDefault="006C00CA" w:rsidP="000136D4"/>
          <w:p w14:paraId="4E8CDEDE" w14:textId="31000155" w:rsidR="00583E7B" w:rsidRPr="00F7789F" w:rsidRDefault="00F7789F" w:rsidP="000136D4">
            <w:r>
              <w:t xml:space="preserve">I might design an activity for </w:t>
            </w:r>
            <w:r>
              <w:t>Science Inquiry Skills</w:t>
            </w:r>
            <w:r>
              <w:t xml:space="preserve"> based around this concept. For example, I might tell my student</w:t>
            </w:r>
            <w:r w:rsidR="00DE5541">
              <w:t>s that some</w:t>
            </w:r>
            <w:r>
              <w:t xml:space="preserve"> beer-loving </w:t>
            </w:r>
            <w:r w:rsidR="00DE5541">
              <w:t xml:space="preserve">(and coincidentally Belgian) </w:t>
            </w:r>
            <w:r>
              <w:t>scientists decided to do an experiment to test the reproducibility o</w:t>
            </w:r>
            <w:r w:rsidR="00DE5541">
              <w:t>f their beer-brewing production.</w:t>
            </w:r>
            <w:r>
              <w:t xml:space="preserve"> So far they had been preparing their </w:t>
            </w:r>
            <w:proofErr w:type="spellStart"/>
            <w:r>
              <w:t>wort</w:t>
            </w:r>
            <w:proofErr w:type="spellEnd"/>
            <w:r>
              <w:t xml:space="preserve"> and leaving it in large barrels in the cellar of th</w:t>
            </w:r>
            <w:r w:rsidR="00DE5541">
              <w:t xml:space="preserve">eir </w:t>
            </w:r>
            <w:r w:rsidR="00883672">
              <w:t>monastery</w:t>
            </w:r>
            <w:r w:rsidR="00DE5541">
              <w:t xml:space="preserve"> (they</w:t>
            </w:r>
            <w:r>
              <w:t xml:space="preserve"> also</w:t>
            </w:r>
            <w:r w:rsidR="00DE5541">
              <w:t xml:space="preserve"> happen to be</w:t>
            </w:r>
            <w:r>
              <w:t xml:space="preserve"> monks)</w:t>
            </w:r>
            <w:r w:rsidR="00DE5541">
              <w:t xml:space="preserve"> until it formed into beer after some time</w:t>
            </w:r>
            <w:r>
              <w:t>.</w:t>
            </w:r>
            <w:r w:rsidR="00DE5541">
              <w:t xml:space="preserve"> They decided that this time they would prepare twice the normal amount of </w:t>
            </w:r>
            <w:proofErr w:type="spellStart"/>
            <w:r w:rsidR="00DE5541">
              <w:t>wort</w:t>
            </w:r>
            <w:proofErr w:type="spellEnd"/>
            <w:r w:rsidR="00DE5541">
              <w:t xml:space="preserve">, put half of it in the cellar as usual, and send the other half to some hermit friends of theirs who live in the nearby </w:t>
            </w:r>
            <w:proofErr w:type="spellStart"/>
            <w:r w:rsidR="00DE5541">
              <w:t>Zenne</w:t>
            </w:r>
            <w:proofErr w:type="spellEnd"/>
            <w:r w:rsidR="00DE5541">
              <w:t xml:space="preserve"> valley. They are interested if the two batches of beer turn out the same, as the only thing that they have changed is the location at which the fermentation is done. Of course the two batches of beer turn out completely different, the beer from their cellar turns out sweet and rich and frothy as usual, while the beer fermented in the </w:t>
            </w:r>
            <w:proofErr w:type="spellStart"/>
            <w:r w:rsidR="00DE5541">
              <w:t>Zenne</w:t>
            </w:r>
            <w:proofErr w:type="spellEnd"/>
            <w:r w:rsidR="00DE5541">
              <w:t xml:space="preserve"> valley turns out sour and tart but refreshing. Why do you think the beer turned out so differently?</w:t>
            </w:r>
          </w:p>
          <w:p w14:paraId="0D4ED3B4" w14:textId="77777777" w:rsidR="00583E7B" w:rsidRPr="00F7789F" w:rsidRDefault="00583E7B" w:rsidP="000136D4"/>
        </w:tc>
      </w:tr>
    </w:tbl>
    <w:p w14:paraId="6BD613D2" w14:textId="77777777" w:rsidR="00583E7B" w:rsidRPr="004812CF" w:rsidRDefault="00583E7B" w:rsidP="00583E7B">
      <w:pPr>
        <w:rPr>
          <w:sz w:val="24"/>
          <w:szCs w:val="24"/>
        </w:rPr>
      </w:pPr>
    </w:p>
    <w:p w14:paraId="4A708966" w14:textId="77777777" w:rsidR="00B42D9C" w:rsidRPr="004812CF" w:rsidRDefault="00B42D9C" w:rsidP="00583E7B">
      <w:pPr>
        <w:spacing w:after="0" w:line="276" w:lineRule="auto"/>
        <w:rPr>
          <w:sz w:val="24"/>
          <w:szCs w:val="24"/>
        </w:rPr>
      </w:pPr>
    </w:p>
    <w:sectPr w:rsidR="00B42D9C" w:rsidRPr="004812CF" w:rsidSect="00583E7B">
      <w:pgSz w:w="11906" w:h="16838"/>
      <w:pgMar w:top="680" w:right="1134" w:bottom="68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26B91"/>
    <w:multiLevelType w:val="hybridMultilevel"/>
    <w:tmpl w:val="E8B2A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6584C"/>
    <w:multiLevelType w:val="hybridMultilevel"/>
    <w:tmpl w:val="62EC78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0A4BD9"/>
    <w:multiLevelType w:val="hybridMultilevel"/>
    <w:tmpl w:val="F650DF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7E43451"/>
    <w:multiLevelType w:val="hybridMultilevel"/>
    <w:tmpl w:val="A922FC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2sLQ0tbAwsDQ0N7dU0lEKTi0uzszPAykwrAUA38K8BSwAAAA="/>
  </w:docVars>
  <w:rsids>
    <w:rsidRoot w:val="003A2707"/>
    <w:rsid w:val="00000AC4"/>
    <w:rsid w:val="000D7D7E"/>
    <w:rsid w:val="00193C65"/>
    <w:rsid w:val="001B06FD"/>
    <w:rsid w:val="001F6898"/>
    <w:rsid w:val="002154B9"/>
    <w:rsid w:val="00233A38"/>
    <w:rsid w:val="002776B7"/>
    <w:rsid w:val="00277977"/>
    <w:rsid w:val="002A12D0"/>
    <w:rsid w:val="003A2707"/>
    <w:rsid w:val="004167FE"/>
    <w:rsid w:val="004458D1"/>
    <w:rsid w:val="00454FD5"/>
    <w:rsid w:val="00460527"/>
    <w:rsid w:val="004657E8"/>
    <w:rsid w:val="0047417D"/>
    <w:rsid w:val="004812CF"/>
    <w:rsid w:val="004869A9"/>
    <w:rsid w:val="00517EEB"/>
    <w:rsid w:val="00580171"/>
    <w:rsid w:val="00583E7B"/>
    <w:rsid w:val="005A0AD2"/>
    <w:rsid w:val="005D18C0"/>
    <w:rsid w:val="00682FE0"/>
    <w:rsid w:val="006B7750"/>
    <w:rsid w:val="006C00CA"/>
    <w:rsid w:val="00710A1D"/>
    <w:rsid w:val="007222C2"/>
    <w:rsid w:val="00753173"/>
    <w:rsid w:val="00800128"/>
    <w:rsid w:val="008321E9"/>
    <w:rsid w:val="00856CC5"/>
    <w:rsid w:val="00863685"/>
    <w:rsid w:val="00883672"/>
    <w:rsid w:val="009024BC"/>
    <w:rsid w:val="00923F21"/>
    <w:rsid w:val="009A4A59"/>
    <w:rsid w:val="009D305B"/>
    <w:rsid w:val="009D33F2"/>
    <w:rsid w:val="00A263D0"/>
    <w:rsid w:val="00A7536D"/>
    <w:rsid w:val="00A77CF3"/>
    <w:rsid w:val="00AD7086"/>
    <w:rsid w:val="00AF1C4B"/>
    <w:rsid w:val="00AF32CA"/>
    <w:rsid w:val="00B2521D"/>
    <w:rsid w:val="00B35B21"/>
    <w:rsid w:val="00B42D9C"/>
    <w:rsid w:val="00B54A95"/>
    <w:rsid w:val="00DE5541"/>
    <w:rsid w:val="00E029FA"/>
    <w:rsid w:val="00E55CEB"/>
    <w:rsid w:val="00E972C9"/>
    <w:rsid w:val="00F43C81"/>
    <w:rsid w:val="00F76CFC"/>
    <w:rsid w:val="00F7789F"/>
    <w:rsid w:val="00FA109A"/>
    <w:rsid w:val="00FF62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884A"/>
  <w15:chartTrackingRefBased/>
  <w15:docId w15:val="{4F34A849-60A6-4224-B326-F84E9231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2CF"/>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0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BodyCopy-noSpaceAfter">
    <w:name w:val="AU Body Copy - no Space After"/>
    <w:basedOn w:val="Normal"/>
    <w:rsid w:val="00B42D9C"/>
    <w:pPr>
      <w:spacing w:after="0" w:line="240" w:lineRule="auto"/>
    </w:pPr>
    <w:rPr>
      <w:rFonts w:ascii="Arial Narrow" w:eastAsia="Times New Roman" w:hAnsi="Arial Narrow" w:cs="Times New Roman"/>
      <w:color w:val="000000"/>
      <w:sz w:val="24"/>
      <w:szCs w:val="20"/>
    </w:rPr>
  </w:style>
  <w:style w:type="character" w:customStyle="1" w:styleId="Style2">
    <w:name w:val="Style2"/>
    <w:basedOn w:val="DefaultParagraphFont"/>
    <w:uiPriority w:val="1"/>
    <w:rsid w:val="00B42D9C"/>
    <w:rPr>
      <w:rFonts w:ascii="Arial" w:hAnsi="Arial"/>
      <w:sz w:val="22"/>
    </w:rPr>
  </w:style>
  <w:style w:type="paragraph" w:styleId="ListParagraph">
    <w:name w:val="List Paragraph"/>
    <w:basedOn w:val="Normal"/>
    <w:uiPriority w:val="34"/>
    <w:qFormat/>
    <w:rsid w:val="008321E9"/>
    <w:pPr>
      <w:ind w:left="720"/>
      <w:contextualSpacing/>
    </w:pPr>
  </w:style>
  <w:style w:type="character" w:styleId="Emphasis">
    <w:name w:val="Emphasis"/>
    <w:basedOn w:val="DefaultParagraphFont"/>
    <w:uiPriority w:val="20"/>
    <w:qFormat/>
    <w:rsid w:val="00F7789F"/>
    <w:rPr>
      <w:i/>
      <w:iCs/>
    </w:rPr>
  </w:style>
  <w:style w:type="character" w:styleId="Hyperlink">
    <w:name w:val="Hyperlink"/>
    <w:basedOn w:val="DefaultParagraphFont"/>
    <w:uiPriority w:val="99"/>
    <w:semiHidden/>
    <w:unhideWhenUsed/>
    <w:rsid w:val="00B35B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ynmanlectures.caltech.edu/I_01.html" TargetMode="External"/><Relationship Id="rId3" Type="http://schemas.openxmlformats.org/officeDocument/2006/relationships/styles" Target="styles.xml"/><Relationship Id="rId7" Type="http://schemas.openxmlformats.org/officeDocument/2006/relationships/hyperlink" Target="http://www.feynmanlectures.caltech.edu/I_01.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feynmanlectures.caltech.edu/I_01.html" TargetMode="External"/><Relationship Id="rId4" Type="http://schemas.openxmlformats.org/officeDocument/2006/relationships/settings" Target="settings.xml"/><Relationship Id="rId9" Type="http://schemas.openxmlformats.org/officeDocument/2006/relationships/hyperlink" Target="http://www.feynmanlectures.caltech.edu/I_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1EBEF-3A2A-442D-BC43-798A0F0BE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DEE22B47.dotm</Template>
  <TotalTime>93</TotalTime>
  <Pages>4</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Lyron Juan Winderbaum</cp:lastModifiedBy>
  <cp:revision>14</cp:revision>
  <dcterms:created xsi:type="dcterms:W3CDTF">2018-02-07T00:13:00Z</dcterms:created>
  <dcterms:modified xsi:type="dcterms:W3CDTF">2018-02-07T01:46:00Z</dcterms:modified>
</cp:coreProperties>
</file>