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Words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Proportion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Probability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Likelihood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Odds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Uncertainty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Degrees of Certainty Activity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Qualitative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Maybe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Possibly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Yeah, nah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Nah, yeah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Assuredly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Certainly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Likely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Very Likely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Very Certainly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Probably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Very Probably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Highly Probably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Assuredly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Unlikely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Very Unlikely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Uncertainly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Somewhat Likely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Questionably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Completely Uncertain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odds are in favour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odds are against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 odds are good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The odds are bad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Quantitative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Odds are 2:1 against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Odds are 2:1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Probability of 0.6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Probability of 5/13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Odds of 4 to 1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Odds of 7 to 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30%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