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400"/>
        <w:jc w:val="center"/>
      </w:pPr>
      <w:r>
        <w:rPr>
          <w:b/>
          <w:bCs/>
          <w:color w:val="1F4E79"/>
          <w:sz w:val="44"/>
          <w:szCs w:val="44"/>
        </w:rPr>
        <w:t xml:space="preserve">PROJECT REPORT</w:t>
      </w:r>
    </w:p>
    <w:p>
      <w:pPr>
        <w:spacing w:after="120"/>
        <w:jc w:val="center"/>
      </w:pPr>
      <w:r>
        <w:rPr>
          <w:b/>
          <w:bCs/>
          <w:sz w:val="32"/>
          <w:szCs w:val="32"/>
        </w:rPr>
        <w:t xml:space="preserve">Business Performance Dashboard</w:t>
      </w:r>
    </w:p>
    <w:p>
      <w:pPr>
        <w:spacing w:after="800"/>
        <w:jc w:val="center"/>
      </w:pPr>
      <w:r>
        <w:rPr>
          <w:i/>
          <w:iCs/>
          <w:sz w:val="24"/>
          <w:szCs w:val="24"/>
        </w:rPr>
        <w:t xml:space="preserve">Year-over-Year Sales, Revenue &amp; Customer Performance Analysis (2023 vs 2024)</w:t>
      </w:r>
    </w:p>
    <w:p>
      <w:pPr>
        <w:spacing w:after="600"/>
        <w:jc w:val="center"/>
      </w:pPr>
      <w:r>
        <w:rPr>
          <w:sz w:val="22"/>
          <w:szCs w:val="22"/>
        </w:rPr>
        <w:t xml:space="preserve">Domain: Retail Sales Analytics using Power BI &amp; DAX</w:t>
      </w:r>
    </w:p>
    <w:p>
      <w:pPr>
        <w:spacing w:after="120"/>
        <w:jc w:val="center"/>
      </w:pPr>
      <w:r>
        <w:rPr>
          <w:sz w:val="22"/>
          <w:szCs w:val="22"/>
        </w:rPr>
        <w:t xml:space="preserve">Submitted By : </w:t>
      </w:r>
      <w:r>
        <w:rPr>
          <w:b/>
          <w:bCs/>
          <w:sz w:val="22"/>
          <w:szCs w:val="22"/>
        </w:rPr>
        <w:t xml:space="preserve">Arman Alam</w:t>
      </w:r>
    </w:p>
    <w:p>
      <w:pPr>
        <w:spacing w:after="120"/>
        <w:jc w:val="center"/>
      </w:pPr>
      <w:r>
        <w:rPr>
          <w:sz w:val="22"/>
          <w:szCs w:val="22"/>
        </w:rPr>
        <w:t xml:space="preserve">Course: BTech</w:t>
      </w:r>
    </w:p>
    <w:p>
      <w:pPr>
        <w:spacing w:after="600"/>
        <w:jc w:val="center"/>
      </w:pPr>
      <w:r>
        <w:rPr>
          <w:sz w:val="22"/>
          <w:szCs w:val="22"/>
        </w:rPr>
        <w:t xml:space="preserve">Branch: Computer Science Engineering (CSE)</w:t>
      </w:r>
    </w:p>
    <w:p>
      <w:pPr>
        <w:spacing w:after="2000"/>
        <w:jc w:val="center"/>
      </w:pPr>
      <w:r>
        <w:rPr>
          <w:sz w:val="22"/>
          <w:szCs w:val="22"/>
        </w:rPr>
        <w:t xml:space="preserve">Tools: Power BI Desktop | Power Query | DAX | Data Modeling</w:t>
      </w:r>
    </w:p>
    <w:p>
      <w:r>
        <w:br w:type="page"/>
      </w:r>
    </w:p>
    <w:p>
      <w:pPr>
        <w:sectPr>
          <w:pgSz w:w="12240" w:h="15840" w:orient="portrait"/>
          <w:pgMar w:top="1440" w:right="1440" w:bottom="1440" w:left="1440" w:header="708" w:footer="708" w:gutter="0"/>
          <w:pgNumType/>
          <w:docGrid w:linePitch="360"/>
        </w:sectPr>
      </w:pPr>
    </w:p>
    <w:p>
      <w:pPr>
        <w:pStyle w:val="Heading1"/>
        <w:spacing w:after="150" w:before="300"/>
      </w:pPr>
      <w:r>
        <w:t xml:space="preserve">Table of Contents</w:t>
      </w:r>
    </w:p>
    <w:p>
      <w:pPr>
        <w:spacing w:after="120"/>
      </w:pPr>
      <w:r>
        <w:t xml:space="preserve">1. Abstract</w:t>
      </w:r>
    </w:p>
    <w:p>
      <w:pPr>
        <w:spacing w:after="120"/>
      </w:pPr>
      <w:r>
        <w:t xml:space="preserve">2. Project Objective</w:t>
      </w:r>
    </w:p>
    <w:p>
      <w:pPr>
        <w:spacing w:after="120"/>
      </w:pPr>
      <w:r>
        <w:t xml:space="preserve">3. Problem Statement</w:t>
      </w:r>
    </w:p>
    <w:p>
      <w:pPr>
        <w:spacing w:after="120"/>
      </w:pPr>
      <w:r>
        <w:t xml:space="preserve">4. Dataset Description</w:t>
      </w:r>
    </w:p>
    <w:p>
      <w:pPr>
        <w:spacing w:after="120"/>
      </w:pPr>
      <w:r>
        <w:t xml:space="preserve">5. Data Modeling</w:t>
      </w:r>
    </w:p>
    <w:p>
      <w:pPr>
        <w:spacing w:after="120"/>
      </w:pPr>
      <w:r>
        <w:t xml:space="preserve">6. Measures Used</w:t>
      </w:r>
    </w:p>
    <w:p>
      <w:pPr>
        <w:spacing w:after="120"/>
      </w:pPr>
      <w:r>
        <w:t xml:space="preserve">7. Dashboard Overview</w:t>
      </w:r>
    </w:p>
    <w:p>
      <w:pPr>
        <w:spacing w:after="120"/>
      </w:pPr>
      <w:r>
        <w:t xml:space="preserve">8. Business Insights</w:t>
      </w:r>
    </w:p>
    <w:p>
      <w:pPr>
        <w:spacing w:after="120"/>
      </w:pPr>
      <w:r>
        <w:t xml:space="preserve">9. Business Recommendations</w:t>
      </w:r>
    </w:p>
    <w:p>
      <w:pPr>
        <w:spacing w:after="120"/>
      </w:pPr>
      <w:r>
        <w:t xml:space="preserve">10. Conclusion</w:t>
      </w:r>
    </w:p>
    <w:p>
      <w:pPr>
        <w:spacing w:after="120"/>
      </w:pPr>
      <w:r>
        <w:t xml:space="preserve">11. Future Scope</w:t>
      </w:r>
    </w:p>
    <w:p>
      <w:pPr>
        <w:spacing w:after="120"/>
      </w:pPr>
      <w:r>
        <w:t xml:space="preserve">12. References</w:t>
      </w:r>
    </w:p>
    <w:p>
      <w:r>
        <w:br w:type="page"/>
      </w:r>
    </w:p>
    <w:p>
      <w:pPr>
        <w:sectPr>
          <w:pgSz w:w="11906" w:h="16838" w:orient="portrait"/>
          <w:pgMar w:top="1440" w:right="1440" w:bottom="1440" w:left="1440" w:header="708" w:footer="708" w:gutter="0"/>
          <w:pgNumType/>
          <w:docGrid w:linePitch="360"/>
        </w:sectPr>
      </w:pPr>
    </w:p>
    <w:p>
      <w:pPr>
        <w:pStyle w:val="Heading1"/>
        <w:spacing w:after="150" w:before="300"/>
      </w:pPr>
      <w:r>
        <w:t xml:space="preserve">1. Abstract</w:t>
      </w:r>
    </w:p>
    <w:p>
      <w:pPr>
        <w:spacing w:after="140"/>
      </w:pPr>
      <w:r>
        <w:t xml:space="preserve">The Business Performance Dashboard is a Power BI project developed to compare year-over-year retail performance between 2023 and 2024. The report consolidates two years of transactional sales data into a single interactive model and presents Key Performance Indicators (KPIs), trend analysis, and comparative visuals that allow stakeholders to evaluate whether the business is meeting or exceeding prior-year targets across sales, quantity sold, order volume, and customer acquisition.</w:t>
      </w:r>
    </w:p>
    <w:p>
      <w:pPr>
        <w:pStyle w:val="Heading1"/>
        <w:spacing w:after="150" w:before="300"/>
      </w:pPr>
      <w:r>
        <w:t xml:space="preserve">2. Project Objective</w:t>
      </w:r>
    </w:p>
    <w:p>
      <w:pPr>
        <w:pStyle w:val="ListParagraph"/>
        <w:numPr>
          <w:ilvl w:val="0"/>
          <w:numId w:val="2"/>
        </w:numPr>
        <w:spacing w:after="80"/>
      </w:pPr>
      <w:r>
        <w:t xml:space="preserve">Compare 2024 actual performance against 2023 as a baseline/target.</w:t>
      </w:r>
    </w:p>
    <w:p>
      <w:pPr>
        <w:pStyle w:val="ListParagraph"/>
        <w:numPr>
          <w:ilvl w:val="0"/>
          <w:numId w:val="2"/>
        </w:numPr>
        <w:spacing w:after="80"/>
      </w:pPr>
      <w:r>
        <w:t xml:space="preserve">Track Sales, Quantity Sold, Orders, and Customers as core KPIs.</w:t>
      </w:r>
    </w:p>
    <w:p>
      <w:pPr>
        <w:pStyle w:val="ListParagraph"/>
        <w:numPr>
          <w:ilvl w:val="0"/>
          <w:numId w:val="2"/>
        </w:numPr>
        <w:spacing w:after="80"/>
      </w:pPr>
      <w:r>
        <w:t xml:space="preserve">Visualize trends over time using a Year → Quarter → Month → Day date hierarchy.</w:t>
      </w:r>
    </w:p>
    <w:p>
      <w:pPr>
        <w:pStyle w:val="ListParagraph"/>
        <w:numPr>
          <w:ilvl w:val="0"/>
          <w:numId w:val="2"/>
        </w:numPr>
        <w:spacing w:after="80"/>
      </w:pPr>
      <w:r>
        <w:t xml:space="preserve">Identify high-performing product categories, cities, and states.</w:t>
      </w:r>
    </w:p>
    <w:p>
      <w:pPr>
        <w:pStyle w:val="ListParagraph"/>
        <w:numPr>
          <w:ilvl w:val="0"/>
          <w:numId w:val="2"/>
        </w:numPr>
        <w:spacing w:after="80"/>
      </w:pPr>
      <w:r>
        <w:t xml:space="preserve">Surface the Top 100 Customers by purchase value.</w:t>
      </w:r>
    </w:p>
    <w:p>
      <w:pPr>
        <w:pStyle w:val="ListParagraph"/>
        <w:numPr>
          <w:ilvl w:val="0"/>
          <w:numId w:val="2"/>
        </w:numPr>
        <w:spacing w:after="80"/>
      </w:pPr>
      <w:r>
        <w:t xml:space="preserve">Provide drill-through style tooltip pages for quick contextual insights on hover.</w:t>
      </w:r>
    </w:p>
    <w:p>
      <w:pPr>
        <w:pStyle w:val="Heading1"/>
        <w:spacing w:after="150" w:before="300"/>
      </w:pPr>
      <w:r>
        <w:t xml:space="preserve">3. Problem Statement</w:t>
      </w:r>
    </w:p>
    <w:p>
      <w:pPr>
        <w:spacing w:after="140"/>
      </w:pPr>
      <w:r>
        <w:t xml:space="preserve">Businesses need a fast way to know if current-year performance is ahead of or behind the previous year, and to see where growth or decline is concentrated (which category, which city or state, which customers). Reviewing raw transactional records for two separate years does not answer these questions quickly. This project addresses that gap by modeling both years' data together and surfacing YoY comparisons through KPI cards, gauges, and comparative charts in a single Power BI report.</w:t>
      </w:r>
    </w:p>
    <w:p>
      <w:pPr>
        <w:pStyle w:val="Heading1"/>
        <w:spacing w:after="150" w:before="300"/>
      </w:pPr>
      <w:r>
        <w:t xml:space="preserve">4. Dataset Description</w:t>
      </w:r>
    </w:p>
    <w:p>
      <w:pPr>
        <w:spacing w:after="140"/>
      </w:pPr>
      <w:r>
        <w:t xml:space="preserve">The data model is built from two fact tables representing retail transactions for two consecutive years: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3125"/>
        <w:gridCol w:w="3125"/>
      </w:tblGrid>
      <w:tr>
        <w:tc>
          <w:tcPr>
            <w:tcW w:type="dxa" w:w="3100"/>
            <w:shd w:fill="1F4E79" w:val="clear"/>
            <w:tcMar>
              <w:top w:type="dxa" w:w="80"/>
              <w:left w:type="dxa" w:w="100"/>
              <w:bottom w:type="dxa" w:w="80"/>
              <w:right w:type="dxa" w:w="100"/>
            </w:tcMar>
          </w:tcPr>
          <w:p>
            <w:r>
              <w:rPr>
                <w:b/>
                <w:bCs/>
                <w:color w:val="FFFFFF"/>
              </w:rPr>
              <w:t xml:space="preserve">Table</w:t>
            </w:r>
          </w:p>
        </w:tc>
        <w:tc>
          <w:tcPr>
            <w:tcW w:type="dxa" w:w="3125"/>
            <w:shd w:fill="1F4E79" w:val="clear"/>
            <w:tcMar>
              <w:top w:type="dxa" w:w="80"/>
              <w:left w:type="dxa" w:w="100"/>
              <w:bottom w:type="dxa" w:w="80"/>
              <w:right w:type="dxa" w:w="100"/>
            </w:tcMar>
          </w:tcPr>
          <w:p>
            <w:r>
              <w:rPr>
                <w:b/>
                <w:bCs/>
                <w:color w:val="FFFFFF"/>
              </w:rPr>
              <w:t xml:space="preserve">Description</w:t>
            </w:r>
          </w:p>
        </w:tc>
        <w:tc>
          <w:tcPr>
            <w:tcW w:type="dxa" w:w="3125"/>
            <w:shd w:fill="1F4E79" w:val="clear"/>
            <w:tcMar>
              <w:top w:type="dxa" w:w="80"/>
              <w:left w:type="dxa" w:w="100"/>
              <w:bottom w:type="dxa" w:w="80"/>
              <w:right w:type="dxa" w:w="100"/>
            </w:tcMar>
          </w:tcPr>
          <w:p>
            <w:r>
              <w:rPr>
                <w:b/>
                <w:bCs/>
                <w:color w:val="FFFFFF"/>
              </w:rPr>
              <w:t xml:space="preserve">Key Fields</w:t>
            </w:r>
          </w:p>
        </w:tc>
      </w:tr>
      <w:tr>
        <w:tc>
          <w:tcPr>
            <w:tcW w:type="dxa" w:w="3100"/>
            <w:tcMar>
              <w:top w:type="dxa" w:w="80"/>
              <w:left w:type="dxa" w:w="100"/>
              <w:bottom w:type="dxa" w:w="80"/>
              <w:right w:type="dxa" w:w="100"/>
            </w:tcMar>
          </w:tcPr>
          <w:p>
            <w:r>
              <w:rPr>
                <w:b w:val="false"/>
                <w:bCs w:val="false"/>
              </w:rPr>
              <w:t xml:space="preserve">Sales data 2023</w:t>
            </w:r>
          </w:p>
        </w:tc>
        <w:tc>
          <w:tcPr>
            <w:tcW w:type="dxa" w:w="3125"/>
            <w:tcMar>
              <w:top w:type="dxa" w:w="80"/>
              <w:left w:type="dxa" w:w="100"/>
              <w:bottom w:type="dxa" w:w="80"/>
              <w:right w:type="dxa" w:w="100"/>
            </w:tcMar>
          </w:tcPr>
          <w:p>
            <w:r>
              <w:rPr>
                <w:b w:val="false"/>
                <w:bCs w:val="false"/>
              </w:rPr>
              <w:t xml:space="preserve">Prior-year transactions, used as the comparison baseline / goal</w:t>
            </w:r>
          </w:p>
        </w:tc>
        <w:tc>
          <w:tcPr>
            <w:tcW w:type="dxa" w:w="3125"/>
            <w:tcMar>
              <w:top w:type="dxa" w:w="80"/>
              <w:left w:type="dxa" w:w="100"/>
              <w:bottom w:type="dxa" w:w="80"/>
              <w:right w:type="dxa" w:w="100"/>
            </w:tcMar>
          </w:tcPr>
          <w:p>
            <w:r>
              <w:rPr>
                <w:b w:val="false"/>
                <w:bCs w:val="false"/>
              </w:rPr>
              <w:t xml:space="preserve">Order_id, Customer_id, Sales, Quantity_Sold</w:t>
            </w:r>
          </w:p>
        </w:tc>
      </w:tr>
      <w:tr>
        <w:tc>
          <w:tcPr>
            <w:tcW w:type="dxa" w:w="3100"/>
            <w:tcMar>
              <w:top w:type="dxa" w:w="80"/>
              <w:left w:type="dxa" w:w="100"/>
              <w:bottom w:type="dxa" w:w="80"/>
              <w:right w:type="dxa" w:w="100"/>
            </w:tcMar>
          </w:tcPr>
          <w:p>
            <w:r>
              <w:rPr>
                <w:b w:val="false"/>
                <w:bCs w:val="false"/>
              </w:rPr>
              <w:t xml:space="preserve">Sales data 2024</w:t>
            </w:r>
          </w:p>
        </w:tc>
        <w:tc>
          <w:tcPr>
            <w:tcW w:type="dxa" w:w="3125"/>
            <w:tcMar>
              <w:top w:type="dxa" w:w="80"/>
              <w:left w:type="dxa" w:w="100"/>
              <w:bottom w:type="dxa" w:w="80"/>
              <w:right w:type="dxa" w:w="100"/>
            </w:tcMar>
          </w:tcPr>
          <w:p>
            <w:r>
              <w:rPr>
                <w:b w:val="false"/>
                <w:bCs w:val="false"/>
              </w:rPr>
              <w:t xml:space="preserve">Current-year transactions, used as the actuals</w:t>
            </w:r>
          </w:p>
        </w:tc>
        <w:tc>
          <w:tcPr>
            <w:tcW w:type="dxa" w:w="3125"/>
            <w:tcMar>
              <w:top w:type="dxa" w:w="80"/>
              <w:left w:type="dxa" w:w="100"/>
              <w:bottom w:type="dxa" w:w="80"/>
              <w:right w:type="dxa" w:w="100"/>
            </w:tcMar>
          </w:tcPr>
          <w:p>
            <w:r>
              <w:rPr>
                <w:b w:val="false"/>
                <w:bCs w:val="false"/>
              </w:rPr>
              <w:t xml:space="preserve">order_id, customer_id, sales, quantity_sold, city, state, product_category, date</w:t>
            </w:r>
          </w:p>
        </w:tc>
      </w:tr>
    </w:tbl>
    <w:p>
      <w:pPr>
        <w:spacing w:after="150"/>
      </w:pPr>
    </w:p>
    <w:p>
      <w:pPr>
        <w:spacing w:after="140"/>
      </w:pPr>
      <w:r>
        <w:t xml:space="preserve">A Date hierarchy (Year → Quarter → Month → Day) is derived from the date field in the 2024 table and drives all trend visuals and the Quarter slicer.</w:t>
      </w:r>
    </w:p>
    <w:p>
      <w:pPr>
        <w:pStyle w:val="Heading1"/>
        <w:spacing w:after="150" w:before="300"/>
      </w:pPr>
      <w:r>
        <w:t xml:space="preserve">5. Data Modeling</w:t>
      </w:r>
    </w:p>
    <w:p>
      <w:pPr>
        <w:spacing w:after="140"/>
      </w:pPr>
      <w:r>
        <w:t xml:space="preserve">The model relates the 2023 and 2024 sales tables so that current-year actuals can be evaluated directly against prior-year figures inside the same visuals (KPI targets and gauge targets). A dedicated date hierarchy supports drill-down from Year down to Day across all trend charts.</w:t>
      </w:r>
    </w:p>
    <w:p>
      <w:pPr>
        <w:pStyle w:val="Heading1"/>
        <w:spacing w:after="150" w:before="300"/>
      </w:pPr>
      <w:r>
        <w:t xml:space="preserve">6. Measures Used</w:t>
      </w:r>
    </w:p>
    <w:p>
      <w:pPr>
        <w:pStyle w:val="ListParagraph"/>
        <w:numPr>
          <w:ilvl w:val="0"/>
          <w:numId w:val="2"/>
        </w:numPr>
        <w:spacing w:after="80"/>
      </w:pPr>
      <w:r>
        <w:t xml:space="preserve">Sum of Sales (2024) — actual revenue</w:t>
      </w:r>
    </w:p>
    <w:p>
      <w:pPr>
        <w:pStyle w:val="ListParagraph"/>
        <w:numPr>
          <w:ilvl w:val="0"/>
          <w:numId w:val="2"/>
        </w:numPr>
        <w:spacing w:after="80"/>
      </w:pPr>
      <w:r>
        <w:t xml:space="preserve">Sum of Sales (2023) — prior-year goal</w:t>
      </w:r>
    </w:p>
    <w:p>
      <w:pPr>
        <w:pStyle w:val="ListParagraph"/>
        <w:numPr>
          <w:ilvl w:val="0"/>
          <w:numId w:val="2"/>
        </w:numPr>
        <w:spacing w:after="80"/>
      </w:pPr>
      <w:r>
        <w:t xml:space="preserve">Sum of Quantity Sold (2024 &amp; 2023)</w:t>
      </w:r>
    </w:p>
    <w:p>
      <w:pPr>
        <w:pStyle w:val="ListParagraph"/>
        <w:numPr>
          <w:ilvl w:val="0"/>
          <w:numId w:val="2"/>
        </w:numPr>
        <w:spacing w:after="80"/>
      </w:pPr>
      <w:r>
        <w:t xml:space="preserve">Count of Orders — CountNonNull(order_id) for 2024 and 2023</w:t>
      </w:r>
    </w:p>
    <w:p>
      <w:pPr>
        <w:pStyle w:val="ListParagraph"/>
        <w:numPr>
          <w:ilvl w:val="0"/>
          <w:numId w:val="2"/>
        </w:numPr>
        <w:spacing w:after="80"/>
      </w:pPr>
      <w:r>
        <w:t xml:space="preserve">Count / Sum of Customers (2024 &amp; 2023)</w:t>
      </w:r>
    </w:p>
    <w:p>
      <w:pPr>
        <w:pStyle w:val="Heading1"/>
        <w:spacing w:after="150" w:before="300"/>
      </w:pPr>
      <w:r>
        <w:t xml:space="preserve">7. Dashboard Overview</w:t>
      </w:r>
    </w:p>
    <w:p>
      <w:pPr>
        <w:pStyle w:val="Heading2"/>
        <w:spacing w:after="100" w:before="200"/>
      </w:pPr>
      <w:r>
        <w:t xml:space="preserve">7.1 KPIs Summary and Trend</w:t>
      </w:r>
    </w:p>
    <w:p>
      <w:pPr>
        <w:spacing w:after="140"/>
      </w:pPr>
      <w:r>
        <w:t xml:space="preserve">Purpose: Gives a single-screen executive view of current performance against last year.</w:t>
      </w:r>
    </w:p>
    <w:p>
      <w:pPr>
        <w:pStyle w:val="ListParagraph"/>
        <w:numPr>
          <w:ilvl w:val="0"/>
          <w:numId w:val="2"/>
        </w:numPr>
        <w:spacing w:after="80"/>
      </w:pPr>
      <w:r>
        <w:t xml:space="preserve">4 KPI cards — Sales, Quantity Sold, Orders, and Customers — each showing the 2024 actual against the 2023 figure as its goal, with a trend line broken out by product category.</w:t>
      </w:r>
    </w:p>
    <w:p>
      <w:pPr>
        <w:pStyle w:val="ListParagraph"/>
        <w:numPr>
          <w:ilvl w:val="0"/>
          <w:numId w:val="2"/>
        </w:numPr>
        <w:spacing w:after="80"/>
      </w:pPr>
      <w:r>
        <w:t xml:space="preserve">4 gauge visuals — Target Sales, Target Quantity Sold, Target Orders, Target Customers — needle position shows 2024 progress against the 2023 target value.</w:t>
      </w:r>
    </w:p>
    <w:p>
      <w:pPr>
        <w:pStyle w:val="ListParagraph"/>
        <w:numPr>
          <w:ilvl w:val="0"/>
          <w:numId w:val="2"/>
        </w:numPr>
        <w:spacing w:after="80"/>
      </w:pPr>
      <w:r>
        <w:t xml:space="preserve">Line chart 'Sales Trend' and area charts 'Quantity Sold Trend' / 'Orders Trend', all navigable through the Year–Quarter–Month–Day hierarchy.</w:t>
      </w:r>
    </w:p>
    <w:p>
      <w:pPr>
        <w:pStyle w:val="ListParagraph"/>
        <w:numPr>
          <w:ilvl w:val="0"/>
          <w:numId w:val="2"/>
        </w:numPr>
        <w:spacing w:after="80"/>
      </w:pPr>
      <w:r>
        <w:t xml:space="preserve">A Quarter slicer lets the viewer isolate any quarter across every visual on the page.</w:t>
      </w:r>
    </w:p>
    <w:p>
      <w:pPr>
        <w:pStyle w:val="Heading2"/>
        <w:spacing w:after="100" w:before="200"/>
      </w:pPr>
      <w:r>
        <w:t xml:space="preserve">7.2 Comparative Analysis</w:t>
      </w:r>
    </w:p>
    <w:p>
      <w:pPr>
        <w:spacing w:after="140"/>
      </w:pPr>
      <w:r>
        <w:t xml:space="preserve">Purpose: Breaks total performance down by geography, category, and customer.</w:t>
      </w:r>
    </w:p>
    <w:p>
      <w:pPr>
        <w:pStyle w:val="ListParagraph"/>
        <w:numPr>
          <w:ilvl w:val="0"/>
          <w:numId w:val="2"/>
        </w:numPr>
        <w:spacing w:after="80"/>
      </w:pPr>
      <w:r>
        <w:t xml:space="preserve">Map visual 'Total Sales by City' — bubble size represents total sales per city.</w:t>
      </w:r>
    </w:p>
    <w:p>
      <w:pPr>
        <w:pStyle w:val="ListParagraph"/>
        <w:numPr>
          <w:ilvl w:val="0"/>
          <w:numId w:val="2"/>
        </w:numPr>
        <w:spacing w:after="80"/>
      </w:pPr>
      <w:r>
        <w:t xml:space="preserve">Clustered column chart 'Total Sales by Product Category' — ranks categories by revenue.</w:t>
      </w:r>
    </w:p>
    <w:p>
      <w:pPr>
        <w:pStyle w:val="ListParagraph"/>
        <w:numPr>
          <w:ilvl w:val="0"/>
          <w:numId w:val="2"/>
        </w:numPr>
        <w:spacing w:after="80"/>
      </w:pPr>
      <w:r>
        <w:t xml:space="preserve">Donut chart — order count share by product category.</w:t>
      </w:r>
    </w:p>
    <w:p>
      <w:pPr>
        <w:pStyle w:val="ListParagraph"/>
        <w:numPr>
          <w:ilvl w:val="0"/>
          <w:numId w:val="2"/>
        </w:numPr>
        <w:spacing w:after="80"/>
      </w:pPr>
      <w:r>
        <w:t xml:space="preserve">'Top 100 Customers' table — customer ID with total quantity sold and total sales, for identifying key accounts.</w:t>
      </w:r>
    </w:p>
    <w:p>
      <w:pPr>
        <w:pStyle w:val="ListParagraph"/>
        <w:numPr>
          <w:ilvl w:val="0"/>
          <w:numId w:val="2"/>
        </w:numPr>
        <w:spacing w:after="80"/>
      </w:pPr>
      <w:r>
        <w:t xml:space="preserve">A State slicer filters the whole page to a specific state.</w:t>
      </w:r>
    </w:p>
    <w:p>
      <w:pPr>
        <w:pStyle w:val="Heading2"/>
        <w:spacing w:after="100" w:before="200"/>
      </w:pPr>
      <w:r>
        <w:t xml:space="preserve">7.3 KPI Page &amp; Comparison Page</w:t>
      </w:r>
    </w:p>
    <w:p>
      <w:pPr>
        <w:spacing w:after="140"/>
      </w:pPr>
      <w:r>
        <w:t xml:space="preserve">Purpose: Tooltip-enabled duplicates of the KPIs Summary/Trend and Comparative Analysis pages, built so that hovering over a visual on the main pages calls a compact report-page tooltip instead of a generic label.</w:t>
      </w:r>
    </w:p>
    <w:p>
      <w:pPr>
        <w:pStyle w:val="Heading2"/>
        <w:spacing w:after="100" w:before="200"/>
      </w:pPr>
      <w:r>
        <w:t xml:space="preserve">7.4 ToolTip and ToolTip Page</w:t>
      </w:r>
    </w:p>
    <w:p>
      <w:pPr>
        <w:spacing w:after="140"/>
      </w:pPr>
      <w:r>
        <w:t xml:space="preserve">Purpose: Small (320×240) report pages used exclusively as hover tooltips. Each combines a multi-row summary card (Sales, Quantity Sold, Orders, Customers) with a quarterly sales trend area chart, giving context without leaving the main dashboard.</w:t>
      </w:r>
    </w:p>
    <w:p>
      <w:pPr>
        <w:pStyle w:val="Heading1"/>
        <w:spacing w:after="150" w:before="300"/>
      </w:pPr>
      <w:r>
        <w:t xml:space="preserve">8. Business Insights</w:t>
      </w:r>
    </w:p>
    <w:p>
      <w:pPr>
        <w:spacing w:after="140"/>
      </w:pPr>
      <w:r>
        <w:t xml:space="preserve">The dashboard is built to surface insights such as:</w:t>
      </w:r>
    </w:p>
    <w:p>
      <w:pPr>
        <w:pStyle w:val="ListParagraph"/>
        <w:numPr>
          <w:ilvl w:val="0"/>
          <w:numId w:val="2"/>
        </w:numPr>
        <w:spacing w:after="80"/>
      </w:pPr>
      <w:r>
        <w:t xml:space="preserve">Whether 2024 sales, quantity sold, orders, and customers are tracking ahead of or behind the 2023 baseline, both overall and by quarter.</w:t>
      </w:r>
    </w:p>
    <w:p>
      <w:pPr>
        <w:pStyle w:val="ListParagraph"/>
        <w:numPr>
          <w:ilvl w:val="0"/>
          <w:numId w:val="2"/>
        </w:numPr>
        <w:spacing w:after="80"/>
      </w:pPr>
      <w:r>
        <w:t xml:space="preserve">Which product categories contribute the most to revenue and order volume.</w:t>
      </w:r>
    </w:p>
    <w:p>
      <w:pPr>
        <w:pStyle w:val="ListParagraph"/>
        <w:numPr>
          <w:ilvl w:val="0"/>
          <w:numId w:val="2"/>
        </w:numPr>
        <w:spacing w:after="80"/>
      </w:pPr>
      <w:r>
        <w:t xml:space="preserve">Which cities and states generate the highest sales concentration.</w:t>
      </w:r>
    </w:p>
    <w:p>
      <w:pPr>
        <w:pStyle w:val="ListParagraph"/>
        <w:numPr>
          <w:ilvl w:val="0"/>
          <w:numId w:val="2"/>
        </w:numPr>
        <w:spacing w:after="80"/>
      </w:pPr>
      <w:r>
        <w:t xml:space="preserve">Which customers (Top 100) contribute disproportionately to total revenue.</w:t>
      </w:r>
    </w:p>
    <w:p>
      <w:pPr>
        <w:spacing w:after="140"/>
      </w:pPr>
      <w:r>
        <w:t xml:space="preserve">Because the underlying values are refreshed from the connected data source, exact current figures should be read directly from the live dashboard rather than restated here.</w:t>
      </w:r>
    </w:p>
    <w:p>
      <w:pPr>
        <w:pStyle w:val="Heading1"/>
        <w:spacing w:after="150" w:before="300"/>
      </w:pPr>
      <w:r>
        <w:t xml:space="preserve">9. Business Recommendations</w:t>
      </w:r>
    </w:p>
    <w:p>
      <w:pPr>
        <w:pStyle w:val="ListParagraph"/>
        <w:numPr>
          <w:ilvl w:val="0"/>
          <w:numId w:val="2"/>
        </w:numPr>
        <w:spacing w:after="80"/>
      </w:pPr>
      <w:r>
        <w:t xml:space="preserve">Prioritize marketing and inventory around the product categories shown to drive the highest revenue share.</w:t>
      </w:r>
    </w:p>
    <w:p>
      <w:pPr>
        <w:pStyle w:val="ListParagraph"/>
        <w:numPr>
          <w:ilvl w:val="0"/>
          <w:numId w:val="2"/>
        </w:numPr>
        <w:spacing w:after="80"/>
      </w:pPr>
      <w:r>
        <w:t xml:space="preserve">Investigate quarters or months where the 2024 gauge falls short of the 2023 target and identify root causes.</w:t>
      </w:r>
    </w:p>
    <w:p>
      <w:pPr>
        <w:pStyle w:val="ListParagraph"/>
        <w:numPr>
          <w:ilvl w:val="0"/>
          <w:numId w:val="2"/>
        </w:numPr>
        <w:spacing w:after="80"/>
      </w:pPr>
      <w:r>
        <w:t xml:space="preserve">Expand outreach in top-performing cities/states while designing targeted campaigns for underperforming ones.</w:t>
      </w:r>
    </w:p>
    <w:p>
      <w:pPr>
        <w:pStyle w:val="ListParagraph"/>
        <w:numPr>
          <w:ilvl w:val="0"/>
          <w:numId w:val="2"/>
        </w:numPr>
        <w:spacing w:after="80"/>
      </w:pPr>
      <w:r>
        <w:t xml:space="preserve">Build a retention program around the Top 100 Customers table to protect high-value accounts.</w:t>
      </w:r>
    </w:p>
    <w:p>
      <w:pPr>
        <w:pStyle w:val="ListParagraph"/>
        <w:numPr>
          <w:ilvl w:val="0"/>
          <w:numId w:val="2"/>
        </w:numPr>
        <w:spacing w:after="80"/>
      </w:pPr>
      <w:r>
        <w:t xml:space="preserve">Review the YoY KPI cards on a recurring (e.g. monthly) cadence to catch deviations early.</w:t>
      </w:r>
    </w:p>
    <w:p>
      <w:pPr>
        <w:pStyle w:val="Heading1"/>
        <w:spacing w:after="150" w:before="300"/>
      </w:pPr>
      <w:r>
        <w:t xml:space="preserve">10. Conclusion</w:t>
      </w:r>
    </w:p>
    <w:p>
      <w:pPr>
        <w:spacing w:after="140"/>
      </w:pPr>
      <w:r>
        <w:t xml:space="preserve">This project delivers a single Power BI report that puts 2024 performance in direct context against 2023, combining KPI cards, gauges, and comparative visuals with tooltip-driven drill-in. It gives decision-makers a fast, visual answer to 'are we ahead of last year, and where' without needing to query the raw transactional tables.</w:t>
      </w:r>
    </w:p>
    <w:p>
      <w:pPr>
        <w:pStyle w:val="Heading1"/>
        <w:spacing w:after="150" w:before="300"/>
      </w:pPr>
      <w:r>
        <w:t xml:space="preserve">11. Future Scope</w:t>
      </w:r>
    </w:p>
    <w:p>
      <w:pPr>
        <w:pStyle w:val="ListParagraph"/>
        <w:numPr>
          <w:ilvl w:val="0"/>
          <w:numId w:val="2"/>
        </w:numPr>
        <w:spacing w:after="80"/>
      </w:pPr>
      <w:r>
        <w:t xml:space="preserve">Automate data refresh from a live database or cloud warehouse.</w:t>
      </w:r>
    </w:p>
    <w:p>
      <w:pPr>
        <w:pStyle w:val="ListParagraph"/>
        <w:numPr>
          <w:ilvl w:val="0"/>
          <w:numId w:val="2"/>
        </w:numPr>
        <w:spacing w:after="80"/>
      </w:pPr>
      <w:r>
        <w:t xml:space="preserve">Add a forecast visual projecting the remainder of the current year.</w:t>
      </w:r>
    </w:p>
    <w:p>
      <w:pPr>
        <w:pStyle w:val="ListParagraph"/>
        <w:numPr>
          <w:ilvl w:val="0"/>
          <w:numId w:val="2"/>
        </w:numPr>
        <w:spacing w:after="80"/>
      </w:pPr>
      <w:r>
        <w:t xml:space="preserve">Introduce row-level security for region-based access control.</w:t>
      </w:r>
    </w:p>
    <w:p>
      <w:pPr>
        <w:pStyle w:val="ListParagraph"/>
        <w:numPr>
          <w:ilvl w:val="0"/>
          <w:numId w:val="2"/>
        </w:numPr>
        <w:spacing w:after="80"/>
      </w:pPr>
      <w:r>
        <w:t xml:space="preserve">Extend the model with a Products or Returns table for deeper margin analysis.</w:t>
      </w:r>
    </w:p>
    <w:p>
      <w:pPr>
        <w:pStyle w:val="Heading1"/>
        <w:spacing w:after="150" w:before="300"/>
      </w:pPr>
      <w:r>
        <w:t xml:space="preserve">12. References</w:t>
      </w:r>
    </w:p>
    <w:p>
      <w:pPr>
        <w:pStyle w:val="ListParagraph"/>
        <w:numPr>
          <w:ilvl w:val="0"/>
          <w:numId w:val="2"/>
        </w:numPr>
        <w:spacing w:after="80"/>
      </w:pPr>
      <w:r>
        <w:t xml:space="preserve">Microsoft Power BI Documentation</w:t>
      </w:r>
    </w:p>
    <w:p>
      <w:pPr>
        <w:pStyle w:val="ListParagraph"/>
        <w:numPr>
          <w:ilvl w:val="0"/>
          <w:numId w:val="2"/>
        </w:numPr>
        <w:spacing w:after="80"/>
      </w:pPr>
      <w:r>
        <w:t xml:space="preserve">DAX Guide — sqlbi.com</w:t>
      </w:r>
    </w:p>
    <w:p>
      <w:pPr>
        <w:pStyle w:val="ListParagraph"/>
        <w:numPr>
          <w:ilvl w:val="0"/>
          <w:numId w:val="2"/>
        </w:numPr>
        <w:spacing w:after="80"/>
      </w:pPr>
      <w:r>
        <w:t xml:space="preserve">Project Data Model (Dashbaord.pbix)</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2026-08-22T04:27:58.140Z</dcterms:created>
  <dcterms:modified xsi:type="dcterms:W3CDTF">2026-08-22T04:27:58.141Z</dcterms:modified>
</cp:coreProperties>
</file>

<file path=docProps/custom.xml><?xml version="1.0" encoding="utf-8"?>
<Properties xmlns="http://schemas.openxmlformats.org/officeDocument/2006/custom-properties" xmlns:vt="http://schemas.openxmlformats.org/officeDocument/2006/docPropsVTypes"/>
</file>