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3A68" w14:textId="77777777" w:rsidR="006676C9" w:rsidRDefault="006676C9" w:rsidP="006676C9">
      <w:pPr>
        <w:jc w:val="center"/>
        <w:rPr>
          <w:rFonts w:ascii="Cambria" w:hAnsi="Cambria"/>
          <w:b/>
          <w:bCs/>
          <w:sz w:val="36"/>
          <w:szCs w:val="36"/>
        </w:rPr>
      </w:pPr>
      <w:r w:rsidRPr="006676C9">
        <w:rPr>
          <w:rFonts w:ascii="Cambria" w:hAnsi="Cambria"/>
          <w:b/>
          <w:bCs/>
          <w:sz w:val="36"/>
          <w:szCs w:val="36"/>
        </w:rPr>
        <w:t>Sales and Provider Activity Analysis Report</w:t>
      </w:r>
    </w:p>
    <w:p w14:paraId="3E8D0A56" w14:textId="77777777" w:rsidR="006676C9" w:rsidRPr="006676C9" w:rsidRDefault="006676C9" w:rsidP="006676C9">
      <w:pPr>
        <w:jc w:val="center"/>
        <w:rPr>
          <w:rFonts w:ascii="Cambria" w:hAnsi="Cambria"/>
          <w:b/>
          <w:bCs/>
          <w:sz w:val="36"/>
          <w:szCs w:val="36"/>
        </w:rPr>
      </w:pPr>
    </w:p>
    <w:p w14:paraId="51AA67D8" w14:textId="77777777" w:rsidR="006676C9" w:rsidRPr="006676C9" w:rsidRDefault="006676C9" w:rsidP="006676C9">
      <w:pPr>
        <w:rPr>
          <w:rFonts w:ascii="Cambria" w:hAnsi="Cambria"/>
          <w:b/>
          <w:bCs/>
          <w:sz w:val="28"/>
          <w:szCs w:val="28"/>
        </w:rPr>
      </w:pPr>
      <w:r w:rsidRPr="006676C9">
        <w:rPr>
          <w:rFonts w:ascii="Cambria" w:hAnsi="Cambria"/>
          <w:b/>
          <w:bCs/>
          <w:sz w:val="28"/>
          <w:szCs w:val="28"/>
        </w:rPr>
        <w:t>Executive Summary</w:t>
      </w:r>
    </w:p>
    <w:p w14:paraId="115EAEED" w14:textId="77777777" w:rsidR="006676C9" w:rsidRPr="006676C9" w:rsidRDefault="006676C9" w:rsidP="006676C9">
      <w:pPr>
        <w:rPr>
          <w:rFonts w:ascii="Cambria" w:hAnsi="Cambria"/>
        </w:rPr>
      </w:pPr>
      <w:r w:rsidRPr="006676C9">
        <w:rPr>
          <w:rFonts w:ascii="Cambria" w:hAnsi="Cambria"/>
        </w:rPr>
        <w:t>This report presents a comprehensive analysis of sales performance and provider activity during holiday periods compared to non-holiday periods. Utilizing statistical methods and data analysis techniques, the report aims to uncover differences in sales distributions and provider engagement across these periods. The findings are intended to inform strategic planning, marketing, and operational decisions.</w:t>
      </w:r>
    </w:p>
    <w:p w14:paraId="78696B53" w14:textId="77777777" w:rsidR="006676C9" w:rsidRPr="006676C9" w:rsidRDefault="006676C9" w:rsidP="006676C9">
      <w:pPr>
        <w:rPr>
          <w:rFonts w:ascii="Cambria" w:hAnsi="Cambria"/>
        </w:rPr>
      </w:pPr>
    </w:p>
    <w:p w14:paraId="7F4735F3" w14:textId="77777777" w:rsidR="006676C9" w:rsidRPr="006676C9" w:rsidRDefault="006676C9" w:rsidP="006676C9">
      <w:pPr>
        <w:rPr>
          <w:rFonts w:ascii="Cambria" w:hAnsi="Cambria"/>
        </w:rPr>
      </w:pPr>
      <w:r w:rsidRPr="006676C9">
        <w:rPr>
          <w:rFonts w:ascii="Cambria" w:hAnsi="Cambria"/>
          <w:b/>
          <w:bCs/>
          <w:sz w:val="28"/>
          <w:szCs w:val="28"/>
        </w:rPr>
        <w:t>Introduction</w:t>
      </w:r>
    </w:p>
    <w:p w14:paraId="5F0ED176" w14:textId="6A1B9D43" w:rsidR="006676C9" w:rsidRPr="006676C9" w:rsidRDefault="006676C9" w:rsidP="006676C9">
      <w:pPr>
        <w:rPr>
          <w:rFonts w:ascii="Cambria" w:hAnsi="Cambria"/>
        </w:rPr>
      </w:pPr>
      <w:r w:rsidRPr="006676C9">
        <w:rPr>
          <w:rFonts w:ascii="Cambria" w:hAnsi="Cambria"/>
        </w:rPr>
        <w:t>Understanding the dynamics of sales and provider activity during holiday versus non-holiday periods is crucial for effective business strategy and operations management. This analysis explores these dynamics through three key questions:</w:t>
      </w:r>
    </w:p>
    <w:p w14:paraId="56868B82" w14:textId="77777777" w:rsidR="006676C9" w:rsidRPr="006676C9" w:rsidRDefault="006676C9" w:rsidP="006676C9">
      <w:pPr>
        <w:pStyle w:val="ListParagraph"/>
        <w:numPr>
          <w:ilvl w:val="0"/>
          <w:numId w:val="1"/>
        </w:numPr>
        <w:rPr>
          <w:rFonts w:ascii="Cambria" w:hAnsi="Cambria"/>
        </w:rPr>
      </w:pPr>
      <w:r w:rsidRPr="006676C9">
        <w:rPr>
          <w:rFonts w:ascii="Cambria" w:hAnsi="Cambria"/>
        </w:rPr>
        <w:t>Do sales differ significantly between holiday and non-holiday periods?</w:t>
      </w:r>
    </w:p>
    <w:p w14:paraId="02A2ECCC" w14:textId="77777777" w:rsidR="006676C9" w:rsidRPr="006676C9" w:rsidRDefault="006676C9" w:rsidP="006676C9">
      <w:pPr>
        <w:pStyle w:val="ListParagraph"/>
        <w:numPr>
          <w:ilvl w:val="0"/>
          <w:numId w:val="1"/>
        </w:numPr>
        <w:rPr>
          <w:rFonts w:ascii="Cambria" w:hAnsi="Cambria"/>
        </w:rPr>
      </w:pPr>
      <w:r w:rsidRPr="006676C9">
        <w:rPr>
          <w:rFonts w:ascii="Cambria" w:hAnsi="Cambria"/>
        </w:rPr>
        <w:t>Is there a difference in the number of active providers between these periods?</w:t>
      </w:r>
    </w:p>
    <w:p w14:paraId="3F62F72C" w14:textId="77777777" w:rsidR="006676C9" w:rsidRPr="006676C9" w:rsidRDefault="006676C9" w:rsidP="006676C9">
      <w:pPr>
        <w:pStyle w:val="ListParagraph"/>
        <w:numPr>
          <w:ilvl w:val="0"/>
          <w:numId w:val="1"/>
        </w:numPr>
        <w:rPr>
          <w:rFonts w:ascii="Cambria" w:hAnsi="Cambria"/>
        </w:rPr>
      </w:pPr>
      <w:r w:rsidRPr="006676C9">
        <w:rPr>
          <w:rFonts w:ascii="Cambria" w:hAnsi="Cambria"/>
        </w:rPr>
        <w:t>What implications do these findings have for campaign effectiveness during holidays?</w:t>
      </w:r>
    </w:p>
    <w:p w14:paraId="52B11B24" w14:textId="77777777" w:rsidR="006676C9" w:rsidRPr="006676C9" w:rsidRDefault="006676C9" w:rsidP="006676C9">
      <w:pPr>
        <w:rPr>
          <w:rFonts w:ascii="Cambria" w:hAnsi="Cambria"/>
        </w:rPr>
      </w:pPr>
      <w:r w:rsidRPr="006676C9">
        <w:rPr>
          <w:rFonts w:ascii="Cambria" w:hAnsi="Cambria"/>
          <w:b/>
          <w:bCs/>
          <w:sz w:val="28"/>
          <w:szCs w:val="28"/>
        </w:rPr>
        <w:t>Methodology</w:t>
      </w:r>
    </w:p>
    <w:p w14:paraId="6F6B21D8" w14:textId="77777777" w:rsidR="006676C9" w:rsidRPr="006676C9" w:rsidRDefault="006676C9" w:rsidP="006676C9">
      <w:pPr>
        <w:rPr>
          <w:rFonts w:ascii="Cambria" w:hAnsi="Cambria"/>
        </w:rPr>
      </w:pPr>
      <w:r w:rsidRPr="006676C9">
        <w:rPr>
          <w:rFonts w:ascii="Cambria" w:hAnsi="Cambria"/>
        </w:rPr>
        <w:t>The analysis employed the Mann-Whitney U-test to compare sales distributions, providing a non-parametric method suitable for non-normally distributed data. Additionally, provider activity was analyzed by counting unique active providers during holiday and non-holiday periods.</w:t>
      </w:r>
    </w:p>
    <w:p w14:paraId="7BFE5FA4" w14:textId="77777777" w:rsidR="006676C9" w:rsidRPr="006676C9" w:rsidRDefault="006676C9" w:rsidP="006676C9">
      <w:pPr>
        <w:rPr>
          <w:rFonts w:ascii="Cambria" w:hAnsi="Cambria"/>
        </w:rPr>
      </w:pPr>
    </w:p>
    <w:p w14:paraId="68A8004D" w14:textId="77777777" w:rsidR="006676C9" w:rsidRPr="006676C9" w:rsidRDefault="006676C9" w:rsidP="006676C9">
      <w:pPr>
        <w:rPr>
          <w:rFonts w:ascii="Cambria" w:hAnsi="Cambria"/>
        </w:rPr>
      </w:pPr>
      <w:r w:rsidRPr="006676C9">
        <w:rPr>
          <w:rFonts w:ascii="Cambria" w:hAnsi="Cambria"/>
          <w:b/>
          <w:bCs/>
          <w:sz w:val="28"/>
          <w:szCs w:val="28"/>
        </w:rPr>
        <w:t>Findings</w:t>
      </w:r>
    </w:p>
    <w:p w14:paraId="10206F34" w14:textId="77777777" w:rsidR="006676C9" w:rsidRPr="006676C9" w:rsidRDefault="006676C9" w:rsidP="006676C9">
      <w:pPr>
        <w:rPr>
          <w:rFonts w:ascii="Cambria" w:hAnsi="Cambria"/>
          <w:b/>
          <w:bCs/>
          <w:sz w:val="24"/>
          <w:szCs w:val="24"/>
        </w:rPr>
      </w:pPr>
      <w:r w:rsidRPr="006676C9">
        <w:rPr>
          <w:rFonts w:ascii="Cambria" w:hAnsi="Cambria"/>
          <w:b/>
          <w:bCs/>
          <w:sz w:val="24"/>
          <w:szCs w:val="24"/>
        </w:rPr>
        <w:t>Sales Distribution Comparison</w:t>
      </w:r>
    </w:p>
    <w:p w14:paraId="4756E094" w14:textId="77777777" w:rsidR="006676C9" w:rsidRPr="006676C9" w:rsidRDefault="006676C9" w:rsidP="006676C9">
      <w:pPr>
        <w:rPr>
          <w:rFonts w:ascii="Cambria" w:hAnsi="Cambria"/>
        </w:rPr>
      </w:pPr>
      <w:r w:rsidRPr="006676C9">
        <w:rPr>
          <w:rFonts w:ascii="Cambria" w:hAnsi="Cambria"/>
        </w:rPr>
        <w:t>The Mann-Whitney U-test yielded a U-statistic of approximately 739,828,037 and a p-value of approximately 0.331, indicating no significant difference in sales distributions between holiday and non-holiday periods. This suggests that sales performance is consistent across these periods.</w:t>
      </w:r>
    </w:p>
    <w:p w14:paraId="6AF25A91" w14:textId="77777777" w:rsidR="006676C9" w:rsidRPr="006676C9" w:rsidRDefault="006676C9" w:rsidP="006676C9">
      <w:pPr>
        <w:rPr>
          <w:rFonts w:ascii="Cambria" w:hAnsi="Cambria"/>
        </w:rPr>
      </w:pPr>
    </w:p>
    <w:p w14:paraId="6E894D7B" w14:textId="77777777" w:rsidR="006676C9" w:rsidRPr="006676C9" w:rsidRDefault="006676C9" w:rsidP="006676C9">
      <w:pPr>
        <w:rPr>
          <w:rFonts w:ascii="Cambria" w:hAnsi="Cambria"/>
          <w:b/>
          <w:bCs/>
          <w:sz w:val="24"/>
          <w:szCs w:val="24"/>
        </w:rPr>
      </w:pPr>
      <w:r w:rsidRPr="006676C9">
        <w:rPr>
          <w:rFonts w:ascii="Cambria" w:hAnsi="Cambria"/>
          <w:b/>
          <w:bCs/>
          <w:sz w:val="24"/>
          <w:szCs w:val="24"/>
        </w:rPr>
        <w:t>Provider Activity Analysis</w:t>
      </w:r>
    </w:p>
    <w:p w14:paraId="246E5B9A" w14:textId="77777777" w:rsidR="006676C9" w:rsidRPr="006676C9" w:rsidRDefault="006676C9" w:rsidP="006676C9">
      <w:pPr>
        <w:rPr>
          <w:rFonts w:ascii="Cambria" w:hAnsi="Cambria"/>
        </w:rPr>
      </w:pPr>
      <w:r w:rsidRPr="006676C9">
        <w:rPr>
          <w:rFonts w:ascii="Cambria" w:hAnsi="Cambria"/>
        </w:rPr>
        <w:t>The comparison of active providers revealed 1,206 active providers during holidays and 3,561 during non-holiday periods. This significant difference highlights a higher engagement of providers in non-holiday periods.</w:t>
      </w:r>
    </w:p>
    <w:p w14:paraId="38BCD66C" w14:textId="77777777" w:rsidR="006676C9" w:rsidRPr="006676C9" w:rsidRDefault="006676C9" w:rsidP="006676C9">
      <w:pPr>
        <w:rPr>
          <w:rFonts w:ascii="Cambria" w:hAnsi="Cambria"/>
        </w:rPr>
      </w:pPr>
    </w:p>
    <w:p w14:paraId="3F7ABEE8" w14:textId="77777777" w:rsidR="006676C9" w:rsidRPr="006676C9" w:rsidRDefault="006676C9" w:rsidP="006676C9">
      <w:pPr>
        <w:rPr>
          <w:rFonts w:ascii="Cambria" w:hAnsi="Cambria"/>
        </w:rPr>
      </w:pPr>
      <w:r w:rsidRPr="006676C9">
        <w:rPr>
          <w:rFonts w:ascii="Cambria" w:hAnsi="Cambria"/>
          <w:b/>
          <w:bCs/>
          <w:sz w:val="28"/>
          <w:szCs w:val="28"/>
        </w:rPr>
        <w:t>Interpretation</w:t>
      </w:r>
    </w:p>
    <w:p w14:paraId="62FAA3AB" w14:textId="77777777" w:rsidR="006676C9" w:rsidRPr="006676C9" w:rsidRDefault="006676C9" w:rsidP="006676C9">
      <w:pPr>
        <w:rPr>
          <w:rFonts w:ascii="Cambria" w:hAnsi="Cambria"/>
          <w:b/>
          <w:bCs/>
          <w:sz w:val="24"/>
          <w:szCs w:val="24"/>
        </w:rPr>
      </w:pPr>
      <w:r w:rsidRPr="006676C9">
        <w:rPr>
          <w:rFonts w:ascii="Cambria" w:hAnsi="Cambria"/>
          <w:b/>
          <w:bCs/>
          <w:sz w:val="24"/>
          <w:szCs w:val="24"/>
        </w:rPr>
        <w:t>Sales Consistency Across Periods</w:t>
      </w:r>
    </w:p>
    <w:p w14:paraId="4465CBB6" w14:textId="77777777" w:rsidR="006676C9" w:rsidRPr="006676C9" w:rsidRDefault="006676C9" w:rsidP="006676C9">
      <w:pPr>
        <w:rPr>
          <w:rFonts w:ascii="Cambria" w:hAnsi="Cambria"/>
        </w:rPr>
      </w:pPr>
      <w:r w:rsidRPr="006676C9">
        <w:rPr>
          <w:rFonts w:ascii="Cambria" w:hAnsi="Cambria"/>
        </w:rPr>
        <w:lastRenderedPageBreak/>
        <w:t>The lack of a significant difference in sales distributions suggests that consumer purchasing behavior remains relatively stable across holiday and non-holiday periods. This stability offers a predictable environment for strategic planning but also underscores the need for targeted efforts to boost holiday sales.</w:t>
      </w:r>
    </w:p>
    <w:p w14:paraId="1044D0DF" w14:textId="77777777" w:rsidR="006676C9" w:rsidRPr="006676C9" w:rsidRDefault="006676C9" w:rsidP="006676C9">
      <w:pPr>
        <w:rPr>
          <w:rFonts w:ascii="Cambria" w:hAnsi="Cambria"/>
        </w:rPr>
      </w:pPr>
    </w:p>
    <w:p w14:paraId="3B0DC6FD" w14:textId="77777777" w:rsidR="006676C9" w:rsidRPr="006676C9" w:rsidRDefault="006676C9" w:rsidP="006676C9">
      <w:pPr>
        <w:rPr>
          <w:rFonts w:ascii="Cambria" w:hAnsi="Cambria"/>
          <w:b/>
          <w:bCs/>
          <w:sz w:val="24"/>
          <w:szCs w:val="24"/>
        </w:rPr>
      </w:pPr>
      <w:r w:rsidRPr="006676C9">
        <w:rPr>
          <w:rFonts w:ascii="Cambria" w:hAnsi="Cambria"/>
          <w:b/>
          <w:bCs/>
          <w:sz w:val="24"/>
          <w:szCs w:val="24"/>
        </w:rPr>
        <w:t>Provider Engagement Variability</w:t>
      </w:r>
    </w:p>
    <w:p w14:paraId="1A97B8CC" w14:textId="77777777" w:rsidR="006676C9" w:rsidRPr="006676C9" w:rsidRDefault="006676C9" w:rsidP="006676C9">
      <w:pPr>
        <w:rPr>
          <w:rFonts w:ascii="Cambria" w:hAnsi="Cambria"/>
        </w:rPr>
      </w:pPr>
      <w:r w:rsidRPr="006676C9">
        <w:rPr>
          <w:rFonts w:ascii="Cambria" w:hAnsi="Cambria"/>
        </w:rPr>
        <w:t>The substantial difference in the number of active providers suggests that holidays might present operational or market-driven challenges that affect provider participation. This variability points to opportunities for businesses to engage and support providers to enhance holiday period activity.</w:t>
      </w:r>
    </w:p>
    <w:p w14:paraId="49991844" w14:textId="77777777" w:rsidR="006676C9" w:rsidRPr="006676C9" w:rsidRDefault="006676C9" w:rsidP="006676C9">
      <w:pPr>
        <w:rPr>
          <w:rFonts w:ascii="Cambria" w:hAnsi="Cambria"/>
        </w:rPr>
      </w:pPr>
    </w:p>
    <w:p w14:paraId="1144BE59" w14:textId="77777777" w:rsidR="006676C9" w:rsidRPr="006676C9" w:rsidRDefault="006676C9" w:rsidP="006676C9">
      <w:pPr>
        <w:rPr>
          <w:rFonts w:ascii="Cambria" w:hAnsi="Cambria"/>
        </w:rPr>
      </w:pPr>
      <w:r w:rsidRPr="006676C9">
        <w:rPr>
          <w:rFonts w:ascii="Cambria" w:hAnsi="Cambria"/>
          <w:b/>
          <w:bCs/>
          <w:sz w:val="28"/>
          <w:szCs w:val="28"/>
        </w:rPr>
        <w:t>Strategic</w:t>
      </w:r>
      <w:r w:rsidRPr="006676C9">
        <w:rPr>
          <w:rFonts w:ascii="Cambria" w:hAnsi="Cambria"/>
        </w:rPr>
        <w:t xml:space="preserve"> </w:t>
      </w:r>
      <w:r w:rsidRPr="006676C9">
        <w:rPr>
          <w:rFonts w:ascii="Cambria" w:hAnsi="Cambria"/>
          <w:b/>
          <w:bCs/>
          <w:sz w:val="28"/>
          <w:szCs w:val="28"/>
        </w:rPr>
        <w:t>Implications</w:t>
      </w:r>
    </w:p>
    <w:p w14:paraId="1547276A" w14:textId="77777777" w:rsidR="006676C9" w:rsidRPr="006676C9" w:rsidRDefault="006676C9" w:rsidP="006676C9">
      <w:pPr>
        <w:pStyle w:val="ListParagraph"/>
        <w:numPr>
          <w:ilvl w:val="0"/>
          <w:numId w:val="2"/>
        </w:numPr>
        <w:rPr>
          <w:rFonts w:ascii="Cambria" w:hAnsi="Cambria"/>
        </w:rPr>
      </w:pPr>
      <w:r w:rsidRPr="006676C9">
        <w:rPr>
          <w:rFonts w:ascii="Cambria" w:hAnsi="Cambria"/>
          <w:b/>
          <w:bCs/>
        </w:rPr>
        <w:t>Targeted Marketing and Promotions</w:t>
      </w:r>
      <w:r w:rsidRPr="006676C9">
        <w:rPr>
          <w:rFonts w:ascii="Cambria" w:hAnsi="Cambria"/>
        </w:rPr>
        <w:t>: Despite the consistent sales distributions, targeted marketing and promotions during holidays can capitalize on consumer spending willingness, potentially differentiating offerings and attracting additional sales.</w:t>
      </w:r>
    </w:p>
    <w:p w14:paraId="65BFC122" w14:textId="77777777" w:rsidR="006676C9" w:rsidRPr="006676C9" w:rsidRDefault="006676C9" w:rsidP="006676C9">
      <w:pPr>
        <w:pStyle w:val="ListParagraph"/>
        <w:numPr>
          <w:ilvl w:val="0"/>
          <w:numId w:val="2"/>
        </w:numPr>
        <w:rPr>
          <w:rFonts w:ascii="Cambria" w:hAnsi="Cambria"/>
        </w:rPr>
      </w:pPr>
      <w:r w:rsidRPr="006676C9">
        <w:rPr>
          <w:rFonts w:ascii="Cambria" w:hAnsi="Cambria"/>
          <w:b/>
          <w:bCs/>
        </w:rPr>
        <w:t>Provider Support and Engagement</w:t>
      </w:r>
      <w:r w:rsidRPr="006676C9">
        <w:rPr>
          <w:rFonts w:ascii="Cambria" w:hAnsi="Cambria"/>
        </w:rPr>
        <w:t>: Addressing the factors leading to reduced provider activity during holidays through targeted support can enhance product diversity and availability, contributing to sales performance.</w:t>
      </w:r>
    </w:p>
    <w:p w14:paraId="086114F7" w14:textId="77777777" w:rsidR="006676C9" w:rsidRPr="006676C9" w:rsidRDefault="006676C9" w:rsidP="006676C9">
      <w:pPr>
        <w:pStyle w:val="ListParagraph"/>
        <w:numPr>
          <w:ilvl w:val="0"/>
          <w:numId w:val="2"/>
        </w:numPr>
        <w:rPr>
          <w:rFonts w:ascii="Cambria" w:hAnsi="Cambria"/>
        </w:rPr>
      </w:pPr>
      <w:r w:rsidRPr="006676C9">
        <w:rPr>
          <w:rFonts w:ascii="Cambria" w:hAnsi="Cambria"/>
          <w:b/>
          <w:bCs/>
        </w:rPr>
        <w:t>Operational Adjustments</w:t>
      </w:r>
      <w:r w:rsidRPr="006676C9">
        <w:rPr>
          <w:rFonts w:ascii="Cambria" w:hAnsi="Cambria"/>
        </w:rPr>
        <w:t>: Understanding the operational challenges faced by providers during holidays can inform adjustments and support strategies to maintain or increase provider engagement and sales opportunities.</w:t>
      </w:r>
    </w:p>
    <w:p w14:paraId="0F6DF285" w14:textId="77777777" w:rsidR="006676C9" w:rsidRPr="006676C9" w:rsidRDefault="006676C9" w:rsidP="006676C9">
      <w:pPr>
        <w:rPr>
          <w:rFonts w:ascii="Cambria" w:hAnsi="Cambria"/>
        </w:rPr>
      </w:pPr>
      <w:r w:rsidRPr="006676C9">
        <w:rPr>
          <w:rFonts w:ascii="Cambria" w:hAnsi="Cambria"/>
          <w:b/>
          <w:bCs/>
          <w:sz w:val="28"/>
          <w:szCs w:val="28"/>
        </w:rPr>
        <w:t>Conclusion</w:t>
      </w:r>
    </w:p>
    <w:p w14:paraId="07FD80EE" w14:textId="77777777" w:rsidR="006676C9" w:rsidRPr="006676C9" w:rsidRDefault="006676C9" w:rsidP="006676C9">
      <w:pPr>
        <w:rPr>
          <w:rFonts w:ascii="Cambria" w:hAnsi="Cambria"/>
        </w:rPr>
      </w:pPr>
      <w:r w:rsidRPr="006676C9">
        <w:rPr>
          <w:rFonts w:ascii="Cambria" w:hAnsi="Cambria"/>
        </w:rPr>
        <w:t>The analysis indicates that while sales performance remains consistent across holiday and non-holiday periods, there is a notable difference in provider activity. These findings suggest that while consumer behavior may not significantly change, there are opportunities to enhance sales and provider engagement through targeted strategies during holidays. Businesses are encouraged to leverage these insights for strategic planning and operational adjustments to optimize holiday sales performance and provider participation.</w:t>
      </w:r>
    </w:p>
    <w:p w14:paraId="2347EF2C" w14:textId="77777777" w:rsidR="006676C9" w:rsidRPr="006676C9" w:rsidRDefault="006676C9" w:rsidP="006676C9">
      <w:pPr>
        <w:rPr>
          <w:rFonts w:ascii="Cambria" w:hAnsi="Cambria"/>
        </w:rPr>
      </w:pPr>
    </w:p>
    <w:p w14:paraId="19AF341E" w14:textId="77777777" w:rsidR="006676C9" w:rsidRPr="006676C9" w:rsidRDefault="006676C9" w:rsidP="006676C9">
      <w:pPr>
        <w:rPr>
          <w:rFonts w:ascii="Cambria" w:hAnsi="Cambria"/>
        </w:rPr>
      </w:pPr>
      <w:r w:rsidRPr="006676C9">
        <w:rPr>
          <w:rFonts w:ascii="Cambria" w:hAnsi="Cambria"/>
          <w:b/>
          <w:bCs/>
          <w:sz w:val="28"/>
          <w:szCs w:val="28"/>
        </w:rPr>
        <w:t>Recommendations</w:t>
      </w:r>
    </w:p>
    <w:p w14:paraId="716F2129" w14:textId="77777777" w:rsidR="006676C9" w:rsidRPr="006676C9" w:rsidRDefault="006676C9" w:rsidP="006676C9">
      <w:pPr>
        <w:pStyle w:val="ListParagraph"/>
        <w:numPr>
          <w:ilvl w:val="0"/>
          <w:numId w:val="3"/>
        </w:numPr>
        <w:rPr>
          <w:rFonts w:ascii="Cambria" w:hAnsi="Cambria"/>
        </w:rPr>
      </w:pPr>
      <w:r w:rsidRPr="006676C9">
        <w:rPr>
          <w:rFonts w:ascii="Cambria" w:hAnsi="Cambria"/>
          <w:b/>
          <w:bCs/>
        </w:rPr>
        <w:t>Enhance Holiday Campaigns</w:t>
      </w:r>
      <w:r w:rsidRPr="006676C9">
        <w:rPr>
          <w:rFonts w:ascii="Cambria" w:hAnsi="Cambria"/>
        </w:rPr>
        <w:t>: Develop and implement targeted holiday marketing campaigns to attract consumer interest and stimulate sales during these periods.</w:t>
      </w:r>
    </w:p>
    <w:p w14:paraId="4F581FEC" w14:textId="77777777" w:rsidR="006676C9" w:rsidRPr="006676C9" w:rsidRDefault="006676C9" w:rsidP="006676C9">
      <w:pPr>
        <w:pStyle w:val="ListParagraph"/>
        <w:numPr>
          <w:ilvl w:val="0"/>
          <w:numId w:val="3"/>
        </w:numPr>
        <w:rPr>
          <w:rFonts w:ascii="Cambria" w:hAnsi="Cambria"/>
        </w:rPr>
      </w:pPr>
      <w:r w:rsidRPr="006676C9">
        <w:rPr>
          <w:rFonts w:ascii="Cambria" w:hAnsi="Cambria"/>
          <w:b/>
          <w:bCs/>
        </w:rPr>
        <w:t>Support Provider Engagement</w:t>
      </w:r>
      <w:r w:rsidRPr="006676C9">
        <w:rPr>
          <w:rFonts w:ascii="Cambria" w:hAnsi="Cambria"/>
        </w:rPr>
        <w:t>: Offer targeted support to providers to encourage higher activity during holidays, addressing operational challenges and market opportunities.</w:t>
      </w:r>
    </w:p>
    <w:p w14:paraId="3E97AB70" w14:textId="02CD8EA9" w:rsidR="00B309BA" w:rsidRPr="006676C9" w:rsidRDefault="006676C9" w:rsidP="006676C9">
      <w:pPr>
        <w:pStyle w:val="ListParagraph"/>
        <w:numPr>
          <w:ilvl w:val="0"/>
          <w:numId w:val="3"/>
        </w:numPr>
        <w:rPr>
          <w:rFonts w:ascii="Cambria" w:hAnsi="Cambria"/>
        </w:rPr>
      </w:pPr>
      <w:r w:rsidRPr="006676C9">
        <w:rPr>
          <w:rFonts w:ascii="Cambria" w:hAnsi="Cambria"/>
          <w:b/>
          <w:bCs/>
        </w:rPr>
        <w:t>Continuously Monitor and Adapt</w:t>
      </w:r>
      <w:r w:rsidRPr="006676C9">
        <w:rPr>
          <w:rFonts w:ascii="Cambria" w:hAnsi="Cambria"/>
        </w:rPr>
        <w:t>: Regularly review sales data and provider feedback to adapt strategies and operations in response to emerging trends and challenges.</w:t>
      </w:r>
    </w:p>
    <w:sectPr w:rsidR="00B309BA" w:rsidRPr="006676C9" w:rsidSect="00041E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2D5"/>
    <w:multiLevelType w:val="hybridMultilevel"/>
    <w:tmpl w:val="B8B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F6E19"/>
    <w:multiLevelType w:val="hybridMultilevel"/>
    <w:tmpl w:val="1006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53A85"/>
    <w:multiLevelType w:val="hybridMultilevel"/>
    <w:tmpl w:val="76F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498892">
    <w:abstractNumId w:val="1"/>
  </w:num>
  <w:num w:numId="2" w16cid:durableId="1719473513">
    <w:abstractNumId w:val="0"/>
  </w:num>
  <w:num w:numId="3" w16cid:durableId="253127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EC"/>
    <w:rsid w:val="00041E86"/>
    <w:rsid w:val="006676C9"/>
    <w:rsid w:val="00970AEC"/>
    <w:rsid w:val="00B30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2245"/>
  <w15:chartTrackingRefBased/>
  <w15:docId w15:val="{DC87FCE9-C35E-4A98-8260-BD9CF825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Aghania</dc:creator>
  <cp:keywords/>
  <dc:description/>
  <cp:lastModifiedBy>Arian Aghania</cp:lastModifiedBy>
  <cp:revision>2</cp:revision>
  <dcterms:created xsi:type="dcterms:W3CDTF">2024-03-02T20:19:00Z</dcterms:created>
  <dcterms:modified xsi:type="dcterms:W3CDTF">2024-03-02T20:22:00Z</dcterms:modified>
</cp:coreProperties>
</file>