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1425" w14:textId="77777777" w:rsidR="00690E4C" w:rsidRDefault="00690E4C" w:rsidP="00690E4C">
      <w:r>
        <w:t>Operating cash flow was negative.</w:t>
      </w:r>
    </w:p>
    <w:p w14:paraId="597675E1" w14:textId="77777777" w:rsidR="00690E4C" w:rsidRDefault="00690E4C" w:rsidP="00690E4C">
      <w:r>
        <w:t>Gross margin declined by 8%.</w:t>
      </w:r>
    </w:p>
    <w:p w14:paraId="3095198C" w14:textId="77777777" w:rsidR="00690E4C" w:rsidRDefault="00690E4C" w:rsidP="00690E4C">
      <w:r>
        <w:t>Operating expenses increased faster than revenue.</w:t>
      </w:r>
    </w:p>
    <w:p w14:paraId="33645001" w14:textId="6301DD69" w:rsidR="00C23C39" w:rsidRPr="00690E4C" w:rsidRDefault="00690E4C" w:rsidP="00690E4C">
      <w:r>
        <w:t>Company relies on bridging finance.</w:t>
      </w:r>
    </w:p>
    <w:sectPr w:rsidR="00C23C39" w:rsidRPr="00690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4C"/>
    <w:rsid w:val="00690E4C"/>
    <w:rsid w:val="00AD2586"/>
    <w:rsid w:val="00C23C39"/>
    <w:rsid w:val="00F4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7255"/>
  <w15:chartTrackingRefBased/>
  <w15:docId w15:val="{58426C36-B43A-459F-AEFA-72E33D76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2026-02-19T15:41:00Z</dcterms:created>
  <dcterms:modified xsi:type="dcterms:W3CDTF">2026-02-19T15:41:00Z</dcterms:modified>
</cp:coreProperties>
</file>