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42237"/>
          <w:sz w:val="44"/>
        </w:rPr>
        <w:t>Approach</w:t>
      </w:r>
    </w:p>
    <w:p>
      <w:pPr>
        <w:jc w:val="center"/>
      </w:pPr>
      <w:r>
        <w:rPr>
          <w:rFonts w:ascii="Arial" w:hAnsi="Arial" w:eastAsia="Arial"/>
          <w:color w:val="4B5563"/>
          <w:sz w:val="20"/>
        </w:rPr>
        <w:t>Nvidia Competitive Intelligence Validation</w:t>
      </w:r>
    </w:p>
    <w:p>
      <w:pPr>
        <w:spacing w:after="60"/>
        <w:pBdr>
          <w:bottom w:val="single" w:sz="8" w:space="1" w:color="B7C9DE"/>
        </w:pBdr>
      </w:pPr>
    </w:p>
    <w:p>
      <w:pPr>
        <w:pStyle w:val="Heading1"/>
      </w:pPr>
      <w:r>
        <w:t>Purpose</w:t>
      </w:r>
    </w:p>
    <w:p>
      <w:r>
        <w:rPr>
          <w:b/>
        </w:rPr>
        <w:t xml:space="preserve">This validation is not a full platform build. </w:t>
      </w:r>
      <w:r>
        <w:t>It is a raw, fast test to see whether Nvidia market signals can be transformed into evidence-backed intelligence: what happened, why it matters, which entities are connected, and what should be watched next.</w:t>
      </w:r>
    </w:p>
    <w:p>
      <w:pPr>
        <w:pStyle w:val="Heading1"/>
      </w:pPr>
      <w:r>
        <w:t>Validation Structure</w:t>
      </w:r>
    </w:p>
    <w:p>
      <w:r>
        <w:t>We will divide the validation into three learning phases, without locking the work into a month/week timeline.</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1F4E79"/>
          </w:tcPr>
          <w:p>
            <w:pPr>
              <w:spacing w:after="0"/>
            </w:pPr>
            <w:r/>
            <w:r>
              <w:rPr>
                <w:rFonts w:ascii="Arial" w:hAnsi="Arial" w:eastAsia="Arial"/>
                <w:b/>
                <w:color w:val="FFFFFF"/>
                <w:sz w:val="17"/>
              </w:rPr>
              <w:t>Phase</w:t>
            </w:r>
          </w:p>
        </w:tc>
        <w:tc>
          <w:tcPr>
            <w:tcW w:type="dxa" w:w="3552"/>
            <w:shd w:fill="1F4E79"/>
          </w:tcPr>
          <w:p>
            <w:pPr>
              <w:spacing w:after="0"/>
            </w:pPr>
            <w:r/>
            <w:r>
              <w:rPr>
                <w:rFonts w:ascii="Arial" w:hAnsi="Arial" w:eastAsia="Arial"/>
                <w:b/>
                <w:color w:val="FFFFFF"/>
                <w:sz w:val="17"/>
              </w:rPr>
              <w:t>Name</w:t>
            </w:r>
          </w:p>
        </w:tc>
        <w:tc>
          <w:tcPr>
            <w:tcW w:type="dxa" w:w="3552"/>
            <w:shd w:fill="1F4E79"/>
          </w:tcPr>
          <w:p>
            <w:pPr>
              <w:spacing w:after="0"/>
            </w:pPr>
            <w:r/>
            <w:r>
              <w:rPr>
                <w:rFonts w:ascii="Arial" w:hAnsi="Arial" w:eastAsia="Arial"/>
                <w:b/>
                <w:color w:val="FFFFFF"/>
                <w:sz w:val="17"/>
              </w:rPr>
              <w:t>Core Question</w:t>
            </w:r>
          </w:p>
        </w:tc>
      </w:tr>
      <w:tr>
        <w:tc>
          <w:tcPr>
            <w:tcW w:type="dxa" w:w="3552"/>
            <w:vAlign w:val="top"/>
          </w:tcPr>
          <w:p>
            <w:pPr>
              <w:spacing w:after="0"/>
            </w:pPr>
            <w:r/>
            <w:r>
              <w:rPr>
                <w:rFonts w:ascii="Arial" w:hAnsi="Arial" w:eastAsia="Arial"/>
                <w:b w:val="0"/>
                <w:sz w:val="16"/>
              </w:rPr>
              <w:t>Phase 1</w:t>
            </w:r>
          </w:p>
        </w:tc>
        <w:tc>
          <w:tcPr>
            <w:tcW w:type="dxa" w:w="3552"/>
            <w:vAlign w:val="top"/>
          </w:tcPr>
          <w:p>
            <w:pPr>
              <w:spacing w:after="0"/>
            </w:pPr>
            <w:r/>
            <w:r>
              <w:rPr>
                <w:rFonts w:ascii="Arial" w:hAnsi="Arial" w:eastAsia="Arial"/>
                <w:b w:val="0"/>
                <w:sz w:val="16"/>
              </w:rPr>
              <w:t>Raw Nvidia Intelligence Framework</w:t>
            </w:r>
          </w:p>
        </w:tc>
        <w:tc>
          <w:tcPr>
            <w:tcW w:type="dxa" w:w="3552"/>
            <w:vAlign w:val="top"/>
          </w:tcPr>
          <w:p>
            <w:pPr>
              <w:spacing w:after="0"/>
            </w:pPr>
            <w:r/>
            <w:r>
              <w:rPr>
                <w:rFonts w:ascii="Arial" w:hAnsi="Arial" w:eastAsia="Arial"/>
                <w:b w:val="0"/>
                <w:sz w:val="16"/>
              </w:rPr>
              <w:t>Can we collect Nvidia data, extract evidence, and identify early relationships?</w:t>
            </w:r>
          </w:p>
        </w:tc>
      </w:tr>
      <w:tr>
        <w:tc>
          <w:tcPr>
            <w:tcW w:type="dxa" w:w="3552"/>
            <w:vAlign w:val="top"/>
          </w:tcPr>
          <w:p>
            <w:pPr>
              <w:spacing w:after="0"/>
            </w:pPr>
            <w:r/>
            <w:r>
              <w:rPr>
                <w:rFonts w:ascii="Arial" w:hAnsi="Arial" w:eastAsia="Arial"/>
                <w:b w:val="0"/>
                <w:sz w:val="16"/>
              </w:rPr>
              <w:t>Phase 2</w:t>
            </w:r>
          </w:p>
        </w:tc>
        <w:tc>
          <w:tcPr>
            <w:tcW w:type="dxa" w:w="3552"/>
            <w:vAlign w:val="top"/>
          </w:tcPr>
          <w:p>
            <w:pPr>
              <w:spacing w:after="0"/>
            </w:pPr>
            <w:r/>
            <w:r>
              <w:rPr>
                <w:rFonts w:ascii="Arial" w:hAnsi="Arial" w:eastAsia="Arial"/>
                <w:b w:val="0"/>
                <w:sz w:val="16"/>
              </w:rPr>
              <w:t>Intelligence Object &amp; Relationship Engine</w:t>
            </w:r>
          </w:p>
        </w:tc>
        <w:tc>
          <w:tcPr>
            <w:tcW w:type="dxa" w:w="3552"/>
            <w:vAlign w:val="top"/>
          </w:tcPr>
          <w:p>
            <w:pPr>
              <w:spacing w:after="0"/>
            </w:pPr>
            <w:r/>
            <w:r>
              <w:rPr>
                <w:rFonts w:ascii="Arial" w:hAnsi="Arial" w:eastAsia="Arial"/>
                <w:b w:val="0"/>
                <w:sz w:val="16"/>
              </w:rPr>
              <w:t>Can we convert evidence into events, confidence-scored intelligence objects, and deeper relationships?</w:t>
            </w:r>
          </w:p>
        </w:tc>
      </w:tr>
      <w:tr>
        <w:tc>
          <w:tcPr>
            <w:tcW w:type="dxa" w:w="3552"/>
            <w:vAlign w:val="top"/>
          </w:tcPr>
          <w:p>
            <w:pPr>
              <w:spacing w:after="0"/>
            </w:pPr>
            <w:r/>
            <w:r>
              <w:rPr>
                <w:rFonts w:ascii="Arial" w:hAnsi="Arial" w:eastAsia="Arial"/>
                <w:b w:val="0"/>
                <w:sz w:val="16"/>
              </w:rPr>
              <w:t>Phase 3</w:t>
            </w:r>
          </w:p>
        </w:tc>
        <w:tc>
          <w:tcPr>
            <w:tcW w:type="dxa" w:w="3552"/>
            <w:vAlign w:val="top"/>
          </w:tcPr>
          <w:p>
            <w:pPr>
              <w:spacing w:after="0"/>
            </w:pPr>
            <w:r/>
            <w:r>
              <w:rPr>
                <w:rFonts w:ascii="Arial" w:hAnsi="Arial" w:eastAsia="Arial"/>
                <w:b w:val="0"/>
                <w:sz w:val="16"/>
              </w:rPr>
              <w:t>Decision-Ready Workspace Validation</w:t>
            </w:r>
          </w:p>
        </w:tc>
        <w:tc>
          <w:tcPr>
            <w:tcW w:type="dxa" w:w="3552"/>
            <w:vAlign w:val="top"/>
          </w:tcPr>
          <w:p>
            <w:pPr>
              <w:spacing w:after="0"/>
            </w:pPr>
            <w:r/>
            <w:r>
              <w:rPr>
                <w:rFonts w:ascii="Arial" w:hAnsi="Arial" w:eastAsia="Arial"/>
                <w:b w:val="0"/>
                <w:sz w:val="16"/>
              </w:rPr>
              <w:t>Can the system produce useful dossiers, briefs, and grounded answers that a human would trust?</w:t>
            </w:r>
          </w:p>
        </w:tc>
      </w:tr>
    </w:tbl>
    <w:p>
      <w:pPr>
        <w:pStyle w:val="Heading1"/>
      </w:pPr>
      <w:r>
        <w:t>Phase 1 Raw Adhoc Approach</w:t>
      </w:r>
    </w:p>
    <w:p>
      <w:r>
        <w:rPr>
          <w:b/>
        </w:rPr>
        <w:t xml:space="preserve">Scope: Nvidia only. </w:t>
      </w:r>
      <w:r>
        <w:t xml:space="preserve">We will keep the stack simple, documentation light, and output evidence-first. The target flow is: </w:t>
      </w:r>
      <w:r>
        <w:rPr>
          <w:b/>
        </w:rPr>
        <w:t>Sources → Documents → Evidence Objects → Early Relationships → Intelligence Brief.</w:t>
      </w:r>
    </w:p>
    <w:tbl>
      <w:tblPr>
        <w:tblStyle w:val="TableGrid"/>
        <w:tblW w:type="auto" w:w="0"/>
        <w:jc w:val="center"/>
        <w:tblLook w:firstColumn="1" w:firstRow="1" w:lastColumn="0" w:lastRow="0" w:noHBand="0" w:noVBand="1" w:val="04A0"/>
      </w:tblPr>
      <w:tblGrid>
        <w:gridCol w:w="5328"/>
        <w:gridCol w:w="5328"/>
      </w:tblGrid>
      <w:tr>
        <w:tc>
          <w:tcPr>
            <w:tcW w:type="dxa" w:w="5328"/>
            <w:shd w:fill="1F4E79"/>
          </w:tcPr>
          <w:p>
            <w:pPr>
              <w:spacing w:after="0"/>
            </w:pPr>
            <w:r/>
            <w:r>
              <w:rPr>
                <w:rFonts w:ascii="Arial" w:hAnsi="Arial" w:eastAsia="Arial"/>
                <w:b/>
                <w:color w:val="FFFFFF"/>
                <w:sz w:val="17"/>
              </w:rPr>
              <w:t>Task</w:t>
            </w:r>
          </w:p>
        </w:tc>
        <w:tc>
          <w:tcPr>
            <w:tcW w:type="dxa" w:w="5328"/>
            <w:shd w:fill="1F4E79"/>
          </w:tcPr>
          <w:p>
            <w:pPr>
              <w:spacing w:after="0"/>
            </w:pPr>
            <w:r/>
            <w:r>
              <w:rPr>
                <w:rFonts w:ascii="Arial" w:hAnsi="Arial" w:eastAsia="Arial"/>
                <w:b/>
                <w:color w:val="FFFFFF"/>
                <w:sz w:val="17"/>
              </w:rPr>
              <w:t>Raw Approach</w:t>
            </w:r>
          </w:p>
        </w:tc>
      </w:tr>
      <w:tr>
        <w:tc>
          <w:tcPr>
            <w:tcW w:type="dxa" w:w="5328"/>
            <w:vAlign w:val="top"/>
          </w:tcPr>
          <w:p>
            <w:pPr>
              <w:spacing w:after="0"/>
            </w:pPr>
            <w:r/>
            <w:r>
              <w:rPr>
                <w:rFonts w:ascii="Arial" w:hAnsi="Arial" w:eastAsia="Arial"/>
                <w:b/>
                <w:sz w:val="16"/>
              </w:rPr>
              <w:t>Nvidia intelligence map</w:t>
            </w:r>
          </w:p>
        </w:tc>
        <w:tc>
          <w:tcPr>
            <w:tcW w:type="dxa" w:w="5328"/>
            <w:vAlign w:val="top"/>
          </w:tcPr>
          <w:p>
            <w:pPr>
              <w:spacing w:after="0"/>
            </w:pPr>
            <w:r/>
            <w:r>
              <w:rPr>
                <w:rFonts w:ascii="Arial" w:hAnsi="Arial" w:eastAsia="Arial"/>
                <w:b w:val="0"/>
                <w:sz w:val="16"/>
              </w:rPr>
              <w:t>Define initial themes: AI accelerators, GPUs, HBM, advanced packaging, foundry dependency, hyperscaler demand, export controls, CUDA/software ecosystem, competitors, suppliers, customers, technologies, and risks.</w:t>
            </w:r>
          </w:p>
        </w:tc>
      </w:tr>
      <w:tr>
        <w:tc>
          <w:tcPr>
            <w:tcW w:type="dxa" w:w="5328"/>
            <w:vAlign w:val="top"/>
          </w:tcPr>
          <w:p>
            <w:pPr>
              <w:spacing w:after="0"/>
            </w:pPr>
            <w:r/>
            <w:r>
              <w:rPr>
                <w:rFonts w:ascii="Arial" w:hAnsi="Arial" w:eastAsia="Arial"/>
                <w:b/>
                <w:sz w:val="16"/>
              </w:rPr>
              <w:t>Source registry</w:t>
            </w:r>
          </w:p>
        </w:tc>
        <w:tc>
          <w:tcPr>
            <w:tcW w:type="dxa" w:w="5328"/>
            <w:vAlign w:val="top"/>
          </w:tcPr>
          <w:p>
            <w:pPr>
              <w:spacing w:after="0"/>
            </w:pPr>
            <w:r/>
            <w:r>
              <w:rPr>
                <w:rFonts w:ascii="Arial" w:hAnsi="Arial" w:eastAsia="Arial"/>
                <w:b w:val="0"/>
                <w:sz w:val="16"/>
              </w:rPr>
              <w:t>Register first sources with type, tier, purpose, reliability, bias risk, and collection method. Start with SEC filings, investor materials, earnings transcripts, press releases, official sources, trusted news, and selected sector sources.</w:t>
            </w:r>
          </w:p>
        </w:tc>
      </w:tr>
      <w:tr>
        <w:tc>
          <w:tcPr>
            <w:tcW w:type="dxa" w:w="5328"/>
            <w:vAlign w:val="top"/>
          </w:tcPr>
          <w:p>
            <w:pPr>
              <w:spacing w:after="0"/>
            </w:pPr>
            <w:r/>
            <w:r>
              <w:rPr>
                <w:rFonts w:ascii="Arial" w:hAnsi="Arial" w:eastAsia="Arial"/>
                <w:b/>
                <w:sz w:val="16"/>
              </w:rPr>
              <w:t>Ingestion and normalization</w:t>
            </w:r>
          </w:p>
        </w:tc>
        <w:tc>
          <w:tcPr>
            <w:tcW w:type="dxa" w:w="5328"/>
            <w:vAlign w:val="top"/>
          </w:tcPr>
          <w:p>
            <w:pPr>
              <w:spacing w:after="0"/>
            </w:pPr>
            <w:r/>
            <w:r>
              <w:rPr>
                <w:rFonts w:ascii="Arial" w:hAnsi="Arial" w:eastAsia="Arial"/>
                <w:b w:val="0"/>
                <w:sz w:val="16"/>
              </w:rPr>
              <w:t>Use simple scripts/manual uploads. Store raw docs, extracted text, metadata, chunks, source references, and collection notes.</w:t>
            </w:r>
          </w:p>
        </w:tc>
      </w:tr>
      <w:tr>
        <w:tc>
          <w:tcPr>
            <w:tcW w:type="dxa" w:w="5328"/>
            <w:vAlign w:val="top"/>
          </w:tcPr>
          <w:p>
            <w:pPr>
              <w:spacing w:after="0"/>
            </w:pPr>
            <w:r/>
            <w:r>
              <w:rPr>
                <w:rFonts w:ascii="Arial" w:hAnsi="Arial" w:eastAsia="Arial"/>
                <w:b/>
                <w:sz w:val="16"/>
              </w:rPr>
              <w:t>Evidence extraction</w:t>
            </w:r>
          </w:p>
        </w:tc>
        <w:tc>
          <w:tcPr>
            <w:tcW w:type="dxa" w:w="5328"/>
            <w:vAlign w:val="top"/>
          </w:tcPr>
          <w:p>
            <w:pPr>
              <w:spacing w:after="0"/>
            </w:pPr>
            <w:r/>
            <w:r>
              <w:rPr>
                <w:rFonts w:ascii="Arial" w:hAnsi="Arial" w:eastAsia="Arial"/>
                <w:b w:val="0"/>
                <w:sz w:val="16"/>
              </w:rPr>
              <w:t>Extract structured evidence, not summaries: claim, entity, related entities, theme, snippet, source, source tier, confidence, why it matters, and watch items.</w:t>
            </w:r>
          </w:p>
        </w:tc>
      </w:tr>
      <w:tr>
        <w:tc>
          <w:tcPr>
            <w:tcW w:type="dxa" w:w="5328"/>
            <w:vAlign w:val="top"/>
          </w:tcPr>
          <w:p>
            <w:pPr>
              <w:spacing w:after="0"/>
            </w:pPr>
            <w:r/>
            <w:r>
              <w:rPr>
                <w:rFonts w:ascii="Arial" w:hAnsi="Arial" w:eastAsia="Arial"/>
                <w:b/>
                <w:sz w:val="16"/>
              </w:rPr>
              <w:t>Relationship discovery v0</w:t>
            </w:r>
          </w:p>
        </w:tc>
        <w:tc>
          <w:tcPr>
            <w:tcW w:type="dxa" w:w="5328"/>
            <w:vAlign w:val="top"/>
          </w:tcPr>
          <w:p>
            <w:pPr>
              <w:spacing w:after="0"/>
            </w:pPr>
            <w:r/>
            <w:r>
              <w:rPr>
                <w:rFonts w:ascii="Arial" w:hAnsi="Arial" w:eastAsia="Arial"/>
                <w:b w:val="0"/>
                <w:sz w:val="16"/>
              </w:rPr>
              <w:t>Create relationship candidates such as Nvidia depends_on HBM supply, depends_on foundry capacity, competes_with AMD, exposed_to export controls, influenced_by hyperscaler capex, and strengthened_by CUDA/software ecosystem.</w:t>
            </w:r>
          </w:p>
        </w:tc>
      </w:tr>
      <w:tr>
        <w:tc>
          <w:tcPr>
            <w:tcW w:type="dxa" w:w="5328"/>
            <w:vAlign w:val="top"/>
          </w:tcPr>
          <w:p>
            <w:pPr>
              <w:spacing w:after="0"/>
            </w:pPr>
            <w:r/>
            <w:r>
              <w:rPr>
                <w:rFonts w:ascii="Arial" w:hAnsi="Arial" w:eastAsia="Arial"/>
                <w:b/>
                <w:sz w:val="16"/>
              </w:rPr>
              <w:t>First intelligence output</w:t>
            </w:r>
          </w:p>
        </w:tc>
        <w:tc>
          <w:tcPr>
            <w:tcW w:type="dxa" w:w="5328"/>
            <w:vAlign w:val="top"/>
          </w:tcPr>
          <w:p>
            <w:pPr>
              <w:spacing w:after="0"/>
            </w:pPr>
            <w:r/>
            <w:r>
              <w:rPr>
                <w:rFonts w:ascii="Arial" w:hAnsi="Arial" w:eastAsia="Arial"/>
                <w:b w:val="0"/>
                <w:sz w:val="16"/>
              </w:rPr>
              <w:t>Generate a short Nvidia brief showing key evidence, early relationships, interpretation, risks, opportunities, and what to watch next.</w:t>
            </w:r>
          </w:p>
        </w:tc>
      </w:tr>
      <w:tr>
        <w:tc>
          <w:tcPr>
            <w:tcW w:type="dxa" w:w="5328"/>
            <w:vAlign w:val="top"/>
          </w:tcPr>
          <w:p>
            <w:pPr>
              <w:spacing w:after="0"/>
            </w:pPr>
            <w:r/>
            <w:r>
              <w:rPr>
                <w:rFonts w:ascii="Arial" w:hAnsi="Arial" w:eastAsia="Arial"/>
                <w:b/>
                <w:sz w:val="16"/>
              </w:rPr>
              <w:t>Human review loop</w:t>
            </w:r>
          </w:p>
        </w:tc>
        <w:tc>
          <w:tcPr>
            <w:tcW w:type="dxa" w:w="5328"/>
            <w:vAlign w:val="top"/>
          </w:tcPr>
          <w:p>
            <w:pPr>
              <w:spacing w:after="0"/>
            </w:pPr>
            <w:r/>
            <w:r>
              <w:rPr>
                <w:rFonts w:ascii="Arial" w:hAnsi="Arial" w:eastAsia="Arial"/>
                <w:b w:val="0"/>
                <w:sz w:val="16"/>
              </w:rPr>
              <w:t>Review with Santosh: approve/reject evidence, correct relationships, refine sources, and decide what deserves deeper buildout.</w:t>
            </w:r>
          </w:p>
        </w:tc>
      </w:tr>
    </w:tbl>
    <w:p>
      <w:r>
        <w:br w:type="page"/>
      </w:r>
    </w:p>
    <w:p>
      <w:pPr>
        <w:pStyle w:val="Heading1"/>
      </w:pPr>
      <w:r>
        <w:t>Technical Approach for Phase 1</w:t>
      </w:r>
    </w:p>
    <w:tbl>
      <w:tblPr>
        <w:tblStyle w:val="TableGrid"/>
        <w:tblW w:type="auto" w:w="0"/>
        <w:jc w:val="center"/>
        <w:tblLook w:firstColumn="1" w:firstRow="1" w:lastColumn="0" w:lastRow="0" w:noHBand="0" w:noVBand="1" w:val="04A0"/>
      </w:tblPr>
      <w:tblGrid>
        <w:gridCol w:w="5328"/>
        <w:gridCol w:w="5328"/>
      </w:tblGrid>
      <w:tr>
        <w:tc>
          <w:tcPr>
            <w:tcW w:type="dxa" w:w="5328"/>
            <w:shd w:fill="1F4E79"/>
          </w:tcPr>
          <w:p>
            <w:pPr>
              <w:spacing w:after="0"/>
            </w:pPr>
            <w:r/>
            <w:r>
              <w:rPr>
                <w:rFonts w:ascii="Arial" w:hAnsi="Arial" w:eastAsia="Arial"/>
                <w:b/>
                <w:color w:val="FFFFFF"/>
                <w:sz w:val="16"/>
              </w:rPr>
              <w:t>Area</w:t>
            </w:r>
          </w:p>
        </w:tc>
        <w:tc>
          <w:tcPr>
            <w:tcW w:type="dxa" w:w="5328"/>
            <w:shd w:fill="1F4E79"/>
          </w:tcPr>
          <w:p>
            <w:pPr>
              <w:spacing w:after="0"/>
            </w:pPr>
            <w:r/>
            <w:r>
              <w:rPr>
                <w:rFonts w:ascii="Arial" w:hAnsi="Arial" w:eastAsia="Arial"/>
                <w:b/>
                <w:color w:val="FFFFFF"/>
                <w:sz w:val="16"/>
              </w:rPr>
              <w:t>Adhoc Technical Choice</w:t>
            </w:r>
          </w:p>
        </w:tc>
      </w:tr>
      <w:tr>
        <w:tc>
          <w:tcPr>
            <w:tcW w:type="dxa" w:w="5328"/>
          </w:tcPr>
          <w:p>
            <w:pPr>
              <w:spacing w:after="0"/>
            </w:pPr>
            <w:r/>
            <w:r>
              <w:rPr>
                <w:rFonts w:ascii="Arial" w:hAnsi="Arial" w:eastAsia="Arial"/>
                <w:b/>
                <w:sz w:val="16"/>
              </w:rPr>
              <w:t>Language</w:t>
            </w:r>
          </w:p>
        </w:tc>
        <w:tc>
          <w:tcPr>
            <w:tcW w:type="dxa" w:w="5328"/>
          </w:tcPr>
          <w:p>
            <w:pPr>
              <w:spacing w:after="0"/>
            </w:pPr>
            <w:r/>
            <w:r>
              <w:rPr>
                <w:rFonts w:ascii="Arial" w:hAnsi="Arial" w:eastAsia="Arial"/>
                <w:b w:val="0"/>
                <w:sz w:val="16"/>
              </w:rPr>
              <w:t>Python</w:t>
            </w:r>
          </w:p>
        </w:tc>
      </w:tr>
      <w:tr>
        <w:tc>
          <w:tcPr>
            <w:tcW w:type="dxa" w:w="5328"/>
          </w:tcPr>
          <w:p>
            <w:pPr>
              <w:spacing w:after="0"/>
            </w:pPr>
            <w:r/>
            <w:r>
              <w:rPr>
                <w:rFonts w:ascii="Arial" w:hAnsi="Arial" w:eastAsia="Arial"/>
                <w:b/>
                <w:sz w:val="16"/>
              </w:rPr>
              <w:t>Storage</w:t>
            </w:r>
          </w:p>
        </w:tc>
        <w:tc>
          <w:tcPr>
            <w:tcW w:type="dxa" w:w="5328"/>
          </w:tcPr>
          <w:p>
            <w:pPr>
              <w:spacing w:after="0"/>
            </w:pPr>
            <w:r/>
            <w:r>
              <w:rPr>
                <w:rFonts w:ascii="Arial" w:hAnsi="Arial" w:eastAsia="Arial"/>
                <w:b w:val="0"/>
                <w:sz w:val="16"/>
              </w:rPr>
              <w:t>SQLite or Postgres; local JSON/CSV files acceptable for speed</w:t>
            </w:r>
          </w:p>
        </w:tc>
      </w:tr>
      <w:tr>
        <w:tc>
          <w:tcPr>
            <w:tcW w:type="dxa" w:w="5328"/>
          </w:tcPr>
          <w:p>
            <w:pPr>
              <w:spacing w:after="0"/>
            </w:pPr>
            <w:r/>
            <w:r>
              <w:rPr>
                <w:rFonts w:ascii="Arial" w:hAnsi="Arial" w:eastAsia="Arial"/>
                <w:b/>
                <w:sz w:val="16"/>
              </w:rPr>
              <w:t>Folders</w:t>
            </w:r>
          </w:p>
        </w:tc>
        <w:tc>
          <w:tcPr>
            <w:tcW w:type="dxa" w:w="5328"/>
          </w:tcPr>
          <w:p>
            <w:pPr>
              <w:spacing w:after="0"/>
            </w:pPr>
            <w:r/>
            <w:r>
              <w:rPr>
                <w:rFonts w:ascii="Arial" w:hAnsi="Arial" w:eastAsia="Arial"/>
                <w:b w:val="0"/>
                <w:sz w:val="16"/>
              </w:rPr>
              <w:t>/data/raw, /data/processed, /data/evidence, /data/reports</w:t>
            </w:r>
          </w:p>
        </w:tc>
      </w:tr>
      <w:tr>
        <w:tc>
          <w:tcPr>
            <w:tcW w:type="dxa" w:w="5328"/>
          </w:tcPr>
          <w:p>
            <w:pPr>
              <w:spacing w:after="0"/>
            </w:pPr>
            <w:r/>
            <w:r>
              <w:rPr>
                <w:rFonts w:ascii="Arial" w:hAnsi="Arial" w:eastAsia="Arial"/>
                <w:b/>
                <w:sz w:val="16"/>
              </w:rPr>
              <w:t>LLM</w:t>
            </w:r>
          </w:p>
        </w:tc>
        <w:tc>
          <w:tcPr>
            <w:tcW w:type="dxa" w:w="5328"/>
          </w:tcPr>
          <w:p>
            <w:pPr>
              <w:spacing w:after="0"/>
            </w:pPr>
            <w:r/>
            <w:r>
              <w:rPr>
                <w:rFonts w:ascii="Arial" w:hAnsi="Arial" w:eastAsia="Arial"/>
                <w:b w:val="0"/>
                <w:sz w:val="16"/>
              </w:rPr>
              <w:t>OpenAI API; smaller model for tagging/extraction, stronger model for interpretation</w:t>
            </w:r>
          </w:p>
        </w:tc>
      </w:tr>
      <w:tr>
        <w:tc>
          <w:tcPr>
            <w:tcW w:type="dxa" w:w="5328"/>
          </w:tcPr>
          <w:p>
            <w:pPr>
              <w:spacing w:after="0"/>
            </w:pPr>
            <w:r/>
            <w:r>
              <w:rPr>
                <w:rFonts w:ascii="Arial" w:hAnsi="Arial" w:eastAsia="Arial"/>
                <w:b/>
                <w:sz w:val="16"/>
              </w:rPr>
              <w:t>RAG</w:t>
            </w:r>
          </w:p>
        </w:tc>
        <w:tc>
          <w:tcPr>
            <w:tcW w:type="dxa" w:w="5328"/>
          </w:tcPr>
          <w:p>
            <w:pPr>
              <w:spacing w:after="0"/>
            </w:pPr>
            <w:r/>
            <w:r>
              <w:rPr>
                <w:rFonts w:ascii="Arial" w:hAnsi="Arial" w:eastAsia="Arial"/>
                <w:b w:val="0"/>
                <w:sz w:val="16"/>
              </w:rPr>
              <w:t>Optional in Phase 1; only use if it helps evidence lookup</w:t>
            </w:r>
          </w:p>
        </w:tc>
      </w:tr>
      <w:tr>
        <w:tc>
          <w:tcPr>
            <w:tcW w:type="dxa" w:w="5328"/>
          </w:tcPr>
          <w:p>
            <w:pPr>
              <w:spacing w:after="0"/>
            </w:pPr>
            <w:r/>
            <w:r>
              <w:rPr>
                <w:rFonts w:ascii="Arial" w:hAnsi="Arial" w:eastAsia="Arial"/>
                <w:b/>
                <w:sz w:val="16"/>
              </w:rPr>
              <w:t>Graph</w:t>
            </w:r>
          </w:p>
        </w:tc>
        <w:tc>
          <w:tcPr>
            <w:tcW w:type="dxa" w:w="5328"/>
          </w:tcPr>
          <w:p>
            <w:pPr>
              <w:spacing w:after="0"/>
            </w:pPr>
            <w:r/>
            <w:r>
              <w:rPr>
                <w:rFonts w:ascii="Arial" w:hAnsi="Arial" w:eastAsia="Arial"/>
                <w:b w:val="0"/>
                <w:sz w:val="16"/>
              </w:rPr>
              <w:t>Simple relationship table or NetworkX; no heavy graph UI</w:t>
            </w:r>
          </w:p>
        </w:tc>
      </w:tr>
      <w:tr>
        <w:tc>
          <w:tcPr>
            <w:tcW w:type="dxa" w:w="5328"/>
          </w:tcPr>
          <w:p>
            <w:pPr>
              <w:spacing w:after="0"/>
            </w:pPr>
            <w:r/>
            <w:r>
              <w:rPr>
                <w:rFonts w:ascii="Arial" w:hAnsi="Arial" w:eastAsia="Arial"/>
                <w:b/>
                <w:sz w:val="16"/>
              </w:rPr>
              <w:t>Demo</w:t>
            </w:r>
          </w:p>
        </w:tc>
        <w:tc>
          <w:tcPr>
            <w:tcW w:type="dxa" w:w="5328"/>
          </w:tcPr>
          <w:p>
            <w:pPr>
              <w:spacing w:after="0"/>
            </w:pPr>
            <w:r/>
            <w:r>
              <w:rPr>
                <w:rFonts w:ascii="Arial" w:hAnsi="Arial" w:eastAsia="Arial"/>
                <w:b w:val="0"/>
                <w:sz w:val="16"/>
              </w:rPr>
              <w:t>Notebook, Streamlit, or CLI output; no production frontend</w:t>
            </w:r>
          </w:p>
        </w:tc>
      </w:tr>
      <w:tr>
        <w:tc>
          <w:tcPr>
            <w:tcW w:type="dxa" w:w="5328"/>
          </w:tcPr>
          <w:p>
            <w:pPr>
              <w:spacing w:after="0"/>
            </w:pPr>
            <w:r/>
            <w:r>
              <w:rPr>
                <w:rFonts w:ascii="Arial" w:hAnsi="Arial" w:eastAsia="Arial"/>
                <w:b/>
                <w:sz w:val="16"/>
              </w:rPr>
              <w:t>Output</w:t>
            </w:r>
          </w:p>
        </w:tc>
        <w:tc>
          <w:tcPr>
            <w:tcW w:type="dxa" w:w="5328"/>
          </w:tcPr>
          <w:p>
            <w:pPr>
              <w:spacing w:after="0"/>
            </w:pPr>
            <w:r/>
            <w:r>
              <w:rPr>
                <w:rFonts w:ascii="Arial" w:hAnsi="Arial" w:eastAsia="Arial"/>
                <w:b w:val="0"/>
                <w:sz w:val="16"/>
              </w:rPr>
              <w:t>Evidence repository, relationship table, short Nvidia intelligence brief</w:t>
            </w:r>
          </w:p>
        </w:tc>
      </w:tr>
    </w:tbl>
    <w:p>
      <w:pPr>
        <w:pStyle w:val="Heading1"/>
      </w:pPr>
      <w:r>
        <w:t>Core Data Objects</w:t>
      </w:r>
    </w:p>
    <w:tbl>
      <w:tblPr>
        <w:tblStyle w:val="TableGrid"/>
        <w:tblW w:type="auto" w:w="0"/>
        <w:tblLook w:firstColumn="1" w:firstRow="1" w:lastColumn="0" w:lastRow="0" w:noHBand="0" w:noVBand="1" w:val="04A0"/>
      </w:tblPr>
      <w:tblGrid>
        <w:gridCol w:w="5328"/>
        <w:gridCol w:w="5328"/>
      </w:tblGrid>
      <w:tr>
        <w:tc>
          <w:tcPr>
            <w:tcW w:type="dxa" w:w="5328"/>
            <w:shd w:fill="1F4E79"/>
          </w:tcPr>
          <w:p>
            <w:pPr>
              <w:spacing w:after="0"/>
            </w:pPr>
            <w:r/>
            <w:r>
              <w:rPr>
                <w:rFonts w:ascii="Arial" w:hAnsi="Arial" w:eastAsia="Arial"/>
                <w:b/>
                <w:color w:val="FFFFFF"/>
                <w:sz w:val="16"/>
              </w:rPr>
              <w:t>Object</w:t>
            </w:r>
          </w:p>
        </w:tc>
        <w:tc>
          <w:tcPr>
            <w:tcW w:type="dxa" w:w="5328"/>
            <w:shd w:fill="1F4E79"/>
          </w:tcPr>
          <w:p>
            <w:pPr>
              <w:spacing w:after="0"/>
            </w:pPr>
            <w:r/>
            <w:r>
              <w:rPr>
                <w:rFonts w:ascii="Arial" w:hAnsi="Arial" w:eastAsia="Arial"/>
                <w:b/>
                <w:color w:val="FFFFFF"/>
                <w:sz w:val="16"/>
              </w:rPr>
              <w:t>Fields</w:t>
            </w:r>
          </w:p>
        </w:tc>
      </w:tr>
      <w:tr>
        <w:tc>
          <w:tcPr>
            <w:tcW w:type="dxa" w:w="5328"/>
          </w:tcPr>
          <w:p>
            <w:pPr>
              <w:spacing w:after="0"/>
            </w:pPr>
            <w:r/>
            <w:r>
              <w:rPr>
                <w:rFonts w:ascii="Arial" w:hAnsi="Arial" w:eastAsia="Arial"/>
                <w:b/>
                <w:sz w:val="16"/>
              </w:rPr>
              <w:t>Source</w:t>
            </w:r>
          </w:p>
        </w:tc>
        <w:tc>
          <w:tcPr>
            <w:tcW w:type="dxa" w:w="5328"/>
          </w:tcPr>
          <w:p>
            <w:pPr>
              <w:spacing w:after="0"/>
            </w:pPr>
            <w:r/>
            <w:r>
              <w:rPr>
                <w:rFonts w:ascii="Arial" w:hAnsi="Arial" w:eastAsia="Arial"/>
                <w:b w:val="0"/>
                <w:sz w:val="16"/>
              </w:rPr>
              <w:t>source_id, source_name, type, tier, reliability, bias_risk, URL/reference</w:t>
            </w:r>
          </w:p>
        </w:tc>
      </w:tr>
      <w:tr>
        <w:tc>
          <w:tcPr>
            <w:tcW w:type="dxa" w:w="5328"/>
          </w:tcPr>
          <w:p>
            <w:pPr>
              <w:spacing w:after="0"/>
            </w:pPr>
            <w:r/>
            <w:r>
              <w:rPr>
                <w:rFonts w:ascii="Arial" w:hAnsi="Arial" w:eastAsia="Arial"/>
                <w:b/>
                <w:sz w:val="16"/>
              </w:rPr>
              <w:t>Document</w:t>
            </w:r>
          </w:p>
        </w:tc>
        <w:tc>
          <w:tcPr>
            <w:tcW w:type="dxa" w:w="5328"/>
          </w:tcPr>
          <w:p>
            <w:pPr>
              <w:spacing w:after="0"/>
            </w:pPr>
            <w:r/>
            <w:r>
              <w:rPr>
                <w:rFonts w:ascii="Arial" w:hAnsi="Arial" w:eastAsia="Arial"/>
                <w:b w:val="0"/>
                <w:sz w:val="16"/>
              </w:rPr>
              <w:t>document_id, source_id, title, company, dates, raw_text_path, chunk_ids</w:t>
            </w:r>
          </w:p>
        </w:tc>
      </w:tr>
      <w:tr>
        <w:tc>
          <w:tcPr>
            <w:tcW w:type="dxa" w:w="5328"/>
          </w:tcPr>
          <w:p>
            <w:pPr>
              <w:spacing w:after="0"/>
            </w:pPr>
            <w:r/>
            <w:r>
              <w:rPr>
                <w:rFonts w:ascii="Arial" w:hAnsi="Arial" w:eastAsia="Arial"/>
                <w:b/>
                <w:sz w:val="16"/>
              </w:rPr>
              <w:t>Evidence</w:t>
            </w:r>
          </w:p>
        </w:tc>
        <w:tc>
          <w:tcPr>
            <w:tcW w:type="dxa" w:w="5328"/>
          </w:tcPr>
          <w:p>
            <w:pPr>
              <w:spacing w:after="0"/>
            </w:pPr>
            <w:r/>
            <w:r>
              <w:rPr>
                <w:rFonts w:ascii="Arial" w:hAnsi="Arial" w:eastAsia="Arial"/>
                <w:b w:val="0"/>
                <w:sz w:val="16"/>
              </w:rPr>
              <w:t>evidence_id, document_id, entity, related_entities, theme, claim, snippet, confidence, why_it_matters, watch_items</w:t>
            </w:r>
          </w:p>
        </w:tc>
      </w:tr>
      <w:tr>
        <w:tc>
          <w:tcPr>
            <w:tcW w:type="dxa" w:w="5328"/>
          </w:tcPr>
          <w:p>
            <w:pPr>
              <w:spacing w:after="0"/>
            </w:pPr>
            <w:r/>
            <w:r>
              <w:rPr>
                <w:rFonts w:ascii="Arial" w:hAnsi="Arial" w:eastAsia="Arial"/>
                <w:b/>
                <w:sz w:val="16"/>
              </w:rPr>
              <w:t>Relationship</w:t>
            </w:r>
          </w:p>
        </w:tc>
        <w:tc>
          <w:tcPr>
            <w:tcW w:type="dxa" w:w="5328"/>
          </w:tcPr>
          <w:p>
            <w:pPr>
              <w:spacing w:after="0"/>
            </w:pPr>
            <w:r/>
            <w:r>
              <w:rPr>
                <w:rFonts w:ascii="Arial" w:hAnsi="Arial" w:eastAsia="Arial"/>
                <w:b w:val="0"/>
                <w:sz w:val="16"/>
              </w:rPr>
              <w:t>relationship_id, source_entity, relationship_type, target_entity, evidence_ids, confidence, business_impact</w:t>
            </w:r>
          </w:p>
        </w:tc>
      </w:tr>
      <w:tr>
        <w:tc>
          <w:tcPr>
            <w:tcW w:type="dxa" w:w="5328"/>
          </w:tcPr>
          <w:p>
            <w:pPr>
              <w:spacing w:after="0"/>
            </w:pPr>
            <w:r/>
            <w:r>
              <w:rPr>
                <w:rFonts w:ascii="Arial" w:hAnsi="Arial" w:eastAsia="Arial"/>
                <w:b/>
                <w:sz w:val="16"/>
              </w:rPr>
              <w:t>Intelligence Note</w:t>
            </w:r>
          </w:p>
        </w:tc>
        <w:tc>
          <w:tcPr>
            <w:tcW w:type="dxa" w:w="5328"/>
          </w:tcPr>
          <w:p>
            <w:pPr>
              <w:spacing w:after="0"/>
            </w:pPr>
            <w:r/>
            <w:r>
              <w:rPr>
                <w:rFonts w:ascii="Arial" w:hAnsi="Arial" w:eastAsia="Arial"/>
                <w:b w:val="0"/>
                <w:sz w:val="16"/>
              </w:rPr>
              <w:t>note_id, entity, signal, evidence_ids, interpretation, risk/opportunity, watch_items</w:t>
            </w:r>
          </w:p>
        </w:tc>
      </w:tr>
    </w:tbl>
    <w:p>
      <w:pPr>
        <w:pStyle w:val="Heading1"/>
      </w:pPr>
      <w:r>
        <w:t>Phase 1 Boundaries and Success</w:t>
      </w:r>
    </w:p>
    <w:tbl>
      <w:tblPr>
        <w:tblStyle w:val="TableGrid"/>
        <w:tblW w:type="auto" w:w="0"/>
        <w:tblLook w:firstColumn="1" w:firstRow="1" w:lastColumn="0" w:lastRow="0" w:noHBand="0" w:noVBand="1" w:val="04A0"/>
      </w:tblPr>
      <w:tblGrid>
        <w:gridCol w:w="5328"/>
        <w:gridCol w:w="5328"/>
      </w:tblGrid>
      <w:tr>
        <w:tc>
          <w:tcPr>
            <w:tcW w:type="dxa" w:w="5328"/>
            <w:shd w:fill="1F4E79"/>
          </w:tcPr>
          <w:p>
            <w:pPr>
              <w:spacing w:after="0"/>
            </w:pPr>
            <w:r/>
            <w:r>
              <w:rPr>
                <w:rFonts w:ascii="Arial" w:hAnsi="Arial" w:eastAsia="Arial"/>
                <w:b/>
                <w:color w:val="FFFFFF"/>
                <w:sz w:val="16"/>
              </w:rPr>
              <w:t>Out of Scope</w:t>
            </w:r>
          </w:p>
        </w:tc>
        <w:tc>
          <w:tcPr>
            <w:tcW w:type="dxa" w:w="5328"/>
            <w:shd w:fill="1F4E79"/>
          </w:tcPr>
          <w:p>
            <w:pPr>
              <w:spacing w:after="0"/>
            </w:pPr>
            <w:r/>
            <w:r>
              <w:rPr>
                <w:rFonts w:ascii="Arial" w:hAnsi="Arial" w:eastAsia="Arial"/>
                <w:b/>
                <w:color w:val="FFFFFF"/>
                <w:sz w:val="16"/>
              </w:rPr>
              <w:t>Success Definition</w:t>
            </w:r>
          </w:p>
        </w:tc>
      </w:tr>
      <w:tr>
        <w:tc>
          <w:tcPr>
            <w:tcW w:type="dxa" w:w="5328"/>
          </w:tcPr>
          <w:p>
            <w:pPr>
              <w:spacing w:after="0"/>
            </w:pPr>
            <w:r/>
            <w:r>
              <w:rPr>
                <w:rFonts w:ascii="Arial" w:hAnsi="Arial" w:eastAsia="Arial"/>
                <w:b w:val="0"/>
                <w:sz w:val="16"/>
              </w:rPr>
              <w:t>Full SaaS dashboard; user accounts/auth; production deployment; complex graph visualization; Slack/Teams/email integrations; multi-company semiconductor workspace; automated ingestion from every source.</w:t>
            </w:r>
          </w:p>
        </w:tc>
        <w:tc>
          <w:tcPr>
            <w:tcW w:type="dxa" w:w="5328"/>
          </w:tcPr>
          <w:p>
            <w:pPr>
              <w:spacing w:after="0"/>
            </w:pPr>
            <w:r/>
            <w:r>
              <w:rPr>
                <w:rFonts w:ascii="Arial" w:hAnsi="Arial" w:eastAsia="Arial"/>
                <w:b w:val="0"/>
                <w:sz w:val="16"/>
              </w:rPr>
              <w:t>Nvidia information is collected and normalized; useful evidence is extracted; claims trace back to sources; early relationships are identified; the output explains why the information matters and what to watch next.</w:t>
            </w:r>
          </w:p>
        </w:tc>
      </w:tr>
    </w:tbl>
    <w:sectPr w:rsidR="00FC693F" w:rsidRPr="0006063C" w:rsidSect="00034616">
      <w:footerReference w:type="default" r:id="rId9"/>
      <w:pgSz w:w="12240" w:h="15840"/>
      <w:pgMar w:top="720"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7878"/>
        <w:sz w:val="15"/>
      </w:rPr>
      <w:t>Confidential Working Approach — Validation First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eastAsia="Arial"/>
      <w:b/>
      <w:bCs/>
      <w:color w:val="142237"/>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4223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