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1CF015B" w14:textId="77777777" w:rsidR="008A07CA" w:rsidRDefault="00000000">
      <w:pPr>
        <w:spacing w:before="1440" w:after="200"/>
        <w:jc w:val="center"/>
      </w:pPr>
      <w:r>
        <w:rPr>
          <w:b/>
          <w:bCs/>
          <w:color w:val="1B3A6B"/>
          <w:sz w:val="48"/>
          <w:szCs w:val="48"/>
        </w:rPr>
        <w:t>BC ANALYTICS</w:t>
      </w:r>
    </w:p>
    <w:p w14:paraId="6D73C4D7" w14:textId="77777777" w:rsidR="008A07CA" w:rsidRDefault="00000000">
      <w:pPr>
        <w:pBdr>
          <w:bottom w:val="single" w:sz="10" w:space="1" w:color="2E75B6"/>
        </w:pBdr>
        <w:spacing w:after="200"/>
        <w:jc w:val="center"/>
      </w:pPr>
      <w:r>
        <w:rPr>
          <w:color w:val="2E75B6"/>
          <w:sz w:val="28"/>
          <w:szCs w:val="28"/>
        </w:rPr>
        <w:t>MLG382 Guided Project – 2026</w:t>
      </w:r>
    </w:p>
    <w:p w14:paraId="0D536292" w14:textId="77777777" w:rsidR="008A07CA" w:rsidRDefault="008A07CA">
      <w:pPr>
        <w:spacing w:before="400"/>
      </w:pPr>
    </w:p>
    <w:p w14:paraId="52F93542" w14:textId="77777777" w:rsidR="008A07CA" w:rsidRDefault="00000000">
      <w:pPr>
        <w:jc w:val="center"/>
      </w:pPr>
      <w:r>
        <w:rPr>
          <w:b/>
          <w:bCs/>
          <w:color w:val="1B3A6B"/>
          <w:sz w:val="44"/>
          <w:szCs w:val="44"/>
        </w:rPr>
        <w:t>Domain Understanding Report</w:t>
      </w:r>
    </w:p>
    <w:p w14:paraId="3D7D03FC" w14:textId="77777777" w:rsidR="008A07CA" w:rsidRDefault="008A07CA">
      <w:pPr>
        <w:spacing w:before="200"/>
      </w:pPr>
    </w:p>
    <w:p w14:paraId="000EC0AE" w14:textId="77777777" w:rsidR="008A07CA" w:rsidRDefault="00000000">
      <w:pPr>
        <w:jc w:val="center"/>
      </w:pPr>
      <w:r>
        <w:rPr>
          <w:i/>
          <w:iCs/>
          <w:color w:val="5D6D7E"/>
          <w:sz w:val="26"/>
          <w:szCs w:val="26"/>
        </w:rPr>
        <w:t>Diabetes Risk Segmentation &amp; Decision Support System</w:t>
      </w:r>
    </w:p>
    <w:p w14:paraId="5102766D" w14:textId="77777777" w:rsidR="008A07CA" w:rsidRDefault="008A07CA">
      <w:pPr>
        <w:spacing w:before="600"/>
      </w:pPr>
    </w:p>
    <w:tbl>
      <w:tblPr>
        <w:tblW w:w="7200"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400"/>
        <w:gridCol w:w="4800"/>
      </w:tblGrid>
      <w:tr w:rsidR="008A07CA" w14:paraId="5DDE8980" w14:textId="77777777">
        <w:trPr>
          <w:jc w:val="center"/>
        </w:trPr>
        <w:tc>
          <w:tcPr>
            <w:tcW w:w="2400" w:type="dxa"/>
            <w:tcBorders>
              <w:top w:val="single" w:sz="1" w:space="0" w:color="CCCCCC"/>
              <w:left w:val="single" w:sz="1" w:space="0" w:color="CCCCCC"/>
              <w:bottom w:val="single" w:sz="1" w:space="0" w:color="CCCCCC"/>
              <w:right w:val="single" w:sz="1" w:space="0" w:color="CCCCCC"/>
            </w:tcBorders>
            <w:shd w:val="clear" w:color="auto" w:fill="1B3A6B"/>
            <w:tcMar>
              <w:top w:w="80" w:type="dxa"/>
              <w:left w:w="120" w:type="dxa"/>
              <w:bottom w:w="80" w:type="dxa"/>
              <w:right w:w="120" w:type="dxa"/>
            </w:tcMar>
          </w:tcPr>
          <w:p w14:paraId="66861BAC" w14:textId="77777777" w:rsidR="008A07CA" w:rsidRDefault="00000000">
            <w:r>
              <w:rPr>
                <w:b/>
                <w:bCs/>
                <w:color w:val="FFFFFF"/>
              </w:rPr>
              <w:t>Project</w:t>
            </w:r>
          </w:p>
        </w:tc>
        <w:tc>
          <w:tcPr>
            <w:tcW w:w="4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1E0886D" w14:textId="77777777" w:rsidR="008A07CA" w:rsidRDefault="00000000">
            <w:r>
              <w:rPr>
                <w:color w:val="000000"/>
              </w:rPr>
              <w:t>Diabetes Risk Segmentation &amp; Decision Support System</w:t>
            </w:r>
          </w:p>
        </w:tc>
      </w:tr>
      <w:tr w:rsidR="008A07CA" w14:paraId="3DB36B13" w14:textId="77777777">
        <w:trPr>
          <w:jc w:val="center"/>
        </w:trPr>
        <w:tc>
          <w:tcPr>
            <w:tcW w:w="2400" w:type="dxa"/>
            <w:tcBorders>
              <w:top w:val="single" w:sz="1" w:space="0" w:color="CCCCCC"/>
              <w:left w:val="single" w:sz="1" w:space="0" w:color="CCCCCC"/>
              <w:bottom w:val="single" w:sz="1" w:space="0" w:color="CCCCCC"/>
              <w:right w:val="single" w:sz="1" w:space="0" w:color="CCCCCC"/>
            </w:tcBorders>
            <w:shd w:val="clear" w:color="auto" w:fill="1B3A6B"/>
            <w:tcMar>
              <w:top w:w="80" w:type="dxa"/>
              <w:left w:w="120" w:type="dxa"/>
              <w:bottom w:w="80" w:type="dxa"/>
              <w:right w:w="120" w:type="dxa"/>
            </w:tcMar>
          </w:tcPr>
          <w:p w14:paraId="3D4DCD6A" w14:textId="77777777" w:rsidR="008A07CA" w:rsidRDefault="00000000">
            <w:r>
              <w:rPr>
                <w:b/>
                <w:bCs/>
                <w:color w:val="FFFFFF"/>
              </w:rPr>
              <w:t>Framework</w:t>
            </w:r>
          </w:p>
        </w:tc>
        <w:tc>
          <w:tcPr>
            <w:tcW w:w="4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CCE3425" w14:textId="77777777" w:rsidR="008A07CA" w:rsidRDefault="00000000">
            <w:r>
              <w:rPr>
                <w:color w:val="000000"/>
              </w:rPr>
              <w:t>CRISP-DM</w:t>
            </w:r>
          </w:p>
        </w:tc>
      </w:tr>
      <w:tr w:rsidR="008A07CA" w14:paraId="0E44093D" w14:textId="77777777">
        <w:trPr>
          <w:jc w:val="center"/>
        </w:trPr>
        <w:tc>
          <w:tcPr>
            <w:tcW w:w="2400" w:type="dxa"/>
            <w:tcBorders>
              <w:top w:val="single" w:sz="1" w:space="0" w:color="CCCCCC"/>
              <w:left w:val="single" w:sz="1" w:space="0" w:color="CCCCCC"/>
              <w:bottom w:val="single" w:sz="1" w:space="0" w:color="CCCCCC"/>
              <w:right w:val="single" w:sz="1" w:space="0" w:color="CCCCCC"/>
            </w:tcBorders>
            <w:shd w:val="clear" w:color="auto" w:fill="1B3A6B"/>
            <w:tcMar>
              <w:top w:w="80" w:type="dxa"/>
              <w:left w:w="120" w:type="dxa"/>
              <w:bottom w:w="80" w:type="dxa"/>
              <w:right w:w="120" w:type="dxa"/>
            </w:tcMar>
          </w:tcPr>
          <w:p w14:paraId="271F86A7" w14:textId="77777777" w:rsidR="008A07CA" w:rsidRDefault="00000000">
            <w:r>
              <w:rPr>
                <w:b/>
                <w:bCs/>
                <w:color w:val="FFFFFF"/>
              </w:rPr>
              <w:t>Dataset</w:t>
            </w:r>
          </w:p>
        </w:tc>
        <w:tc>
          <w:tcPr>
            <w:tcW w:w="4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F7D8AD5" w14:textId="77777777" w:rsidR="008A07CA" w:rsidRDefault="00000000">
            <w:proofErr w:type="spellStart"/>
            <w:r>
              <w:rPr>
                <w:color w:val="000000"/>
              </w:rPr>
              <w:t>Diabetes_and_Lifestyle_Dataset</w:t>
            </w:r>
            <w:proofErr w:type="spellEnd"/>
            <w:r>
              <w:rPr>
                <w:color w:val="000000"/>
              </w:rPr>
              <w:t>_ (97,297 patients)</w:t>
            </w:r>
          </w:p>
        </w:tc>
      </w:tr>
      <w:tr w:rsidR="008A07CA" w14:paraId="24E925A4" w14:textId="77777777">
        <w:trPr>
          <w:jc w:val="center"/>
        </w:trPr>
        <w:tc>
          <w:tcPr>
            <w:tcW w:w="2400" w:type="dxa"/>
            <w:tcBorders>
              <w:top w:val="single" w:sz="1" w:space="0" w:color="CCCCCC"/>
              <w:left w:val="single" w:sz="1" w:space="0" w:color="CCCCCC"/>
              <w:bottom w:val="single" w:sz="1" w:space="0" w:color="CCCCCC"/>
              <w:right w:val="single" w:sz="1" w:space="0" w:color="CCCCCC"/>
            </w:tcBorders>
            <w:shd w:val="clear" w:color="auto" w:fill="1B3A6B"/>
            <w:tcMar>
              <w:top w:w="80" w:type="dxa"/>
              <w:left w:w="120" w:type="dxa"/>
              <w:bottom w:w="80" w:type="dxa"/>
              <w:right w:w="120" w:type="dxa"/>
            </w:tcMar>
          </w:tcPr>
          <w:p w14:paraId="63232660" w14:textId="77777777" w:rsidR="008A07CA" w:rsidRDefault="00000000">
            <w:r>
              <w:rPr>
                <w:b/>
                <w:bCs/>
                <w:color w:val="FFFFFF"/>
              </w:rPr>
              <w:t>Phase</w:t>
            </w:r>
          </w:p>
        </w:tc>
        <w:tc>
          <w:tcPr>
            <w:tcW w:w="4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6841A13" w14:textId="77777777" w:rsidR="008A07CA" w:rsidRDefault="00000000">
            <w:r>
              <w:rPr>
                <w:color w:val="000000"/>
              </w:rPr>
              <w:t>Business &amp; Data Understanding</w:t>
            </w:r>
          </w:p>
        </w:tc>
      </w:tr>
      <w:tr w:rsidR="008A07CA" w14:paraId="0B9D25BF" w14:textId="77777777">
        <w:trPr>
          <w:jc w:val="center"/>
        </w:trPr>
        <w:tc>
          <w:tcPr>
            <w:tcW w:w="2400" w:type="dxa"/>
            <w:tcBorders>
              <w:top w:val="single" w:sz="1" w:space="0" w:color="CCCCCC"/>
              <w:left w:val="single" w:sz="1" w:space="0" w:color="CCCCCC"/>
              <w:bottom w:val="single" w:sz="1" w:space="0" w:color="CCCCCC"/>
              <w:right w:val="single" w:sz="1" w:space="0" w:color="CCCCCC"/>
            </w:tcBorders>
            <w:shd w:val="clear" w:color="auto" w:fill="1B3A6B"/>
            <w:tcMar>
              <w:top w:w="80" w:type="dxa"/>
              <w:left w:w="120" w:type="dxa"/>
              <w:bottom w:w="80" w:type="dxa"/>
              <w:right w:w="120" w:type="dxa"/>
            </w:tcMar>
          </w:tcPr>
          <w:p w14:paraId="1F55DD25" w14:textId="77777777" w:rsidR="008A07CA" w:rsidRDefault="00000000">
            <w:r>
              <w:rPr>
                <w:b/>
                <w:bCs/>
                <w:color w:val="FFFFFF"/>
              </w:rPr>
              <w:t>Document</w:t>
            </w:r>
          </w:p>
        </w:tc>
        <w:tc>
          <w:tcPr>
            <w:tcW w:w="4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C11A2BE" w14:textId="77777777" w:rsidR="008A07CA" w:rsidRDefault="00000000">
            <w:r>
              <w:rPr>
                <w:color w:val="000000"/>
              </w:rPr>
              <w:t>Domain Understanding v1.0</w:t>
            </w:r>
          </w:p>
        </w:tc>
      </w:tr>
    </w:tbl>
    <w:p w14:paraId="26BDD83F" w14:textId="77777777" w:rsidR="008A07CA" w:rsidRDefault="00000000">
      <w:r>
        <w:br/>
      </w:r>
    </w:p>
    <w:p w14:paraId="5C1DA3C7" w14:textId="77777777" w:rsidR="008A07CA" w:rsidRDefault="00000000">
      <w:pPr>
        <w:pStyle w:val="Heading1"/>
        <w:pBdr>
          <w:bottom w:val="single" w:sz="6" w:space="1" w:color="2E75B6"/>
        </w:pBdr>
      </w:pPr>
      <w:r>
        <w:t>1. Introduction &amp; Business Context</w:t>
      </w:r>
    </w:p>
    <w:p w14:paraId="782100A7" w14:textId="77777777" w:rsidR="008A07CA" w:rsidRDefault="00000000">
      <w:pPr>
        <w:spacing w:before="80" w:after="100"/>
      </w:pPr>
      <w:r>
        <w:rPr>
          <w:color w:val="000000"/>
        </w:rPr>
        <w:t>BC Analytics partners with clinics, insurers, and wellness programmes to improve patient outcomes and reduce long-term healthcare costs. This document provides the domain understanding required to build a meaningful, clinically grounded decision support system for diabetes risk segmentation.</w:t>
      </w:r>
    </w:p>
    <w:p w14:paraId="2522EE12" w14:textId="77777777" w:rsidR="008A07CA" w:rsidRDefault="00000000">
      <w:pPr>
        <w:spacing w:before="80" w:after="100"/>
      </w:pPr>
      <w:r>
        <w:rPr>
          <w:color w:val="000000"/>
        </w:rPr>
        <w:t>The CRISP-DM framework guides this project. Domain understanding is the foundation of the Business Understanding and Data Understanding phases: without it, models may be technically correct but clinically meaningless.</w:t>
      </w:r>
    </w:p>
    <w:p w14:paraId="4813F57E" w14:textId="77777777" w:rsidR="008A07CA" w:rsidRDefault="008A07CA">
      <w:pPr>
        <w:spacing w:before="120"/>
      </w:pPr>
    </w:p>
    <w:p w14:paraId="40BDAB28" w14:textId="77777777" w:rsidR="008A07CA" w:rsidRDefault="00000000">
      <w:pPr>
        <w:pBdr>
          <w:top w:val="single" w:sz="2" w:space="0" w:color="D6E4F0"/>
          <w:left w:val="thick" w:sz="12" w:space="0" w:color="2E75B6"/>
          <w:bottom w:val="single" w:sz="2" w:space="0" w:color="D6E4F0"/>
        </w:pBdr>
        <w:shd w:val="clear" w:color="auto" w:fill="D6E4F0"/>
        <w:spacing w:before="160" w:after="160"/>
        <w:ind w:left="360" w:right="360"/>
      </w:pPr>
      <w:r>
        <w:rPr>
          <w:i/>
          <w:iCs/>
        </w:rPr>
        <w:t>Key Insight: Diabetes is not a single condition. The dataset contains five distinct stages, each with different aetiology, clinical thresholds, and intervention pathways. A model that conflates these stages will produce misleading risk scores.</w:t>
      </w:r>
    </w:p>
    <w:p w14:paraId="475BE2D7" w14:textId="77777777" w:rsidR="008A07CA" w:rsidRDefault="008A07CA">
      <w:pPr>
        <w:spacing w:before="120"/>
      </w:pPr>
    </w:p>
    <w:p w14:paraId="22FE8336" w14:textId="77777777" w:rsidR="0019073D" w:rsidRDefault="0019073D">
      <w:pPr>
        <w:rPr>
          <w:b/>
          <w:bCs/>
          <w:color w:val="1B3A6B"/>
          <w:sz w:val="36"/>
          <w:szCs w:val="36"/>
        </w:rPr>
      </w:pPr>
      <w:r>
        <w:br w:type="page"/>
      </w:r>
    </w:p>
    <w:p w14:paraId="419DAA1E" w14:textId="5951678D" w:rsidR="008A07CA" w:rsidRDefault="00000000">
      <w:pPr>
        <w:pStyle w:val="Heading1"/>
        <w:pBdr>
          <w:bottom w:val="single" w:sz="6" w:space="1" w:color="2E75B6"/>
        </w:pBdr>
      </w:pPr>
      <w:r>
        <w:lastRenderedPageBreak/>
        <w:t>2. Diabetes: Disease Overview</w:t>
      </w:r>
    </w:p>
    <w:p w14:paraId="58942826" w14:textId="77777777" w:rsidR="008A07CA" w:rsidRDefault="00000000">
      <w:pPr>
        <w:spacing w:before="80" w:after="100"/>
      </w:pPr>
      <w:r>
        <w:rPr>
          <w:color w:val="000000"/>
        </w:rPr>
        <w:t>Diabetes mellitus is a group of metabolic diseases characterised by chronic hyperglycaemia (elevated blood glucose) resulting from defects in insulin secretion, insulin action, or both. Insulin is a hormone produced by the beta-cells of the pancreatic islets of Langerhans. Its primary role is to allow cells to absorb glucose from the bloodstream for energy.</w:t>
      </w:r>
    </w:p>
    <w:p w14:paraId="46D51F2F" w14:textId="77777777" w:rsidR="008A07CA" w:rsidRDefault="00000000">
      <w:pPr>
        <w:spacing w:before="80" w:after="100"/>
      </w:pPr>
      <w:r>
        <w:rPr>
          <w:color w:val="000000"/>
        </w:rPr>
        <w:t>When this system fails, glucose accumulates in the blood, eventually damaging blood vessels, nerves, kidneys, eyes, and the cardiovascular system. Long-term unmanaged diabetes is the leading cause of adult blindness, kidney failure, and non-traumatic lower-limb amputations globally.</w:t>
      </w:r>
    </w:p>
    <w:p w14:paraId="791A1EB2" w14:textId="77777777" w:rsidR="008A07CA" w:rsidRDefault="008A07CA">
      <w:pPr>
        <w:spacing w:before="80"/>
      </w:pPr>
    </w:p>
    <w:p w14:paraId="7A187D95" w14:textId="77777777" w:rsidR="008A07CA" w:rsidRDefault="00000000">
      <w:pPr>
        <w:pStyle w:val="Heading2"/>
      </w:pPr>
      <w:r>
        <w:t>2.1 The Glucose-Insulin Mechanism</w:t>
      </w:r>
    </w:p>
    <w:p w14:paraId="1896C520" w14:textId="77777777" w:rsidR="008A07CA" w:rsidRDefault="00000000">
      <w:pPr>
        <w:spacing w:before="80" w:after="100"/>
      </w:pPr>
      <w:r>
        <w:rPr>
          <w:color w:val="000000"/>
        </w:rPr>
        <w:t>Understanding the following mechanism is essential for interpreting the clinical features in the dataset:</w:t>
      </w:r>
    </w:p>
    <w:p w14:paraId="6B152A2C" w14:textId="77777777" w:rsidR="008A07CA" w:rsidRDefault="00000000">
      <w:pPr>
        <w:pStyle w:val="ListParagraph"/>
        <w:numPr>
          <w:ilvl w:val="0"/>
          <w:numId w:val="2"/>
        </w:numPr>
        <w:spacing w:before="60" w:after="60"/>
      </w:pPr>
      <w:r>
        <w:t>After eating, blood glucose rises. The pancreas detects this and secretes insulin.</w:t>
      </w:r>
    </w:p>
    <w:p w14:paraId="25FFDA1D" w14:textId="77777777" w:rsidR="008A07CA" w:rsidRDefault="00000000">
      <w:pPr>
        <w:pStyle w:val="ListParagraph"/>
        <w:numPr>
          <w:ilvl w:val="0"/>
          <w:numId w:val="2"/>
        </w:numPr>
        <w:spacing w:before="60" w:after="60"/>
      </w:pPr>
      <w:r>
        <w:t>Insulin binds to receptors on muscle, fat, and liver cells, signalling them to absorb glucose.</w:t>
      </w:r>
    </w:p>
    <w:p w14:paraId="635F5563" w14:textId="77777777" w:rsidR="008A07CA" w:rsidRDefault="00000000">
      <w:pPr>
        <w:pStyle w:val="ListParagraph"/>
        <w:numPr>
          <w:ilvl w:val="0"/>
          <w:numId w:val="2"/>
        </w:numPr>
        <w:spacing w:before="60" w:after="60"/>
      </w:pPr>
      <w:r>
        <w:t>In Type 1 diabetes, beta-cells are destroyed, so no insulin is produced.</w:t>
      </w:r>
    </w:p>
    <w:p w14:paraId="5B5BA269" w14:textId="77777777" w:rsidR="008A07CA" w:rsidRDefault="00000000">
      <w:pPr>
        <w:pStyle w:val="ListParagraph"/>
        <w:numPr>
          <w:ilvl w:val="0"/>
          <w:numId w:val="2"/>
        </w:numPr>
        <w:spacing w:before="60" w:after="60"/>
      </w:pPr>
      <w:r>
        <w:t xml:space="preserve">In Type 2 diabetes, cells become resistant to insulin signals; the pancreas overproduces insulin </w:t>
      </w:r>
      <w:proofErr w:type="gramStart"/>
      <w:r>
        <w:t>initially, but</w:t>
      </w:r>
      <w:proofErr w:type="gramEnd"/>
      <w:r>
        <w:t xml:space="preserve"> eventually fatigues and secretion declines.</w:t>
      </w:r>
    </w:p>
    <w:p w14:paraId="6572821D" w14:textId="77777777" w:rsidR="008A07CA" w:rsidRDefault="00000000">
      <w:pPr>
        <w:pStyle w:val="ListParagraph"/>
        <w:numPr>
          <w:ilvl w:val="0"/>
          <w:numId w:val="2"/>
        </w:numPr>
        <w:spacing w:before="60" w:after="60"/>
      </w:pPr>
      <w:r>
        <w:t>HbA1c reflects average blood glucose over the previous 2-3 months, as glucose binds irreversibly to haemoglobin. It is the gold-standard diagnostic marker.</w:t>
      </w:r>
    </w:p>
    <w:p w14:paraId="74F688EB" w14:textId="77777777" w:rsidR="008A07CA" w:rsidRDefault="008A07CA">
      <w:pPr>
        <w:spacing w:before="120"/>
      </w:pPr>
    </w:p>
    <w:p w14:paraId="30EF9F46" w14:textId="77777777" w:rsidR="008A07CA" w:rsidRDefault="00000000">
      <w:pPr>
        <w:pStyle w:val="Heading1"/>
        <w:pBdr>
          <w:bottom w:val="single" w:sz="6" w:space="1" w:color="2E75B6"/>
        </w:pBdr>
      </w:pPr>
      <w:r>
        <w:t>3. Diabetes Stages in the Dataset</w:t>
      </w:r>
    </w:p>
    <w:p w14:paraId="73BE1CAA" w14:textId="77777777" w:rsidR="008A07CA" w:rsidRDefault="00000000">
      <w:pPr>
        <w:spacing w:before="80" w:after="100"/>
      </w:pPr>
      <w:r>
        <w:rPr>
          <w:color w:val="000000"/>
        </w:rPr>
        <w:t xml:space="preserve">The dataset feature </w:t>
      </w:r>
      <w:proofErr w:type="spellStart"/>
      <w:r>
        <w:rPr>
          <w:color w:val="000000"/>
        </w:rPr>
        <w:t>diabetes_stage</w:t>
      </w:r>
      <w:proofErr w:type="spellEnd"/>
      <w:r>
        <w:rPr>
          <w:color w:val="000000"/>
        </w:rPr>
        <w:t xml:space="preserve"> contains five distinct classes. Below is a comprehensive clinical description of each, including diagnostic criteria, aetiology, population risk, and relevance to this project.</w:t>
      </w:r>
    </w:p>
    <w:p w14:paraId="5F5E9699" w14:textId="77777777" w:rsidR="008A07CA" w:rsidRDefault="008A07CA">
      <w:pPr>
        <w:spacing w:before="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560"/>
        <w:gridCol w:w="1560"/>
        <w:gridCol w:w="1560"/>
        <w:gridCol w:w="1560"/>
        <w:gridCol w:w="1560"/>
        <w:gridCol w:w="1560"/>
      </w:tblGrid>
      <w:tr w:rsidR="008A07CA" w14:paraId="1D86BBA9" w14:textId="77777777">
        <w:tc>
          <w:tcPr>
            <w:tcW w:w="1560" w:type="dxa"/>
            <w:tcBorders>
              <w:top w:val="single" w:sz="1" w:space="0" w:color="CCCCCC"/>
              <w:left w:val="single" w:sz="1" w:space="0" w:color="CCCCCC"/>
              <w:bottom w:val="single" w:sz="1" w:space="0" w:color="CCCCCC"/>
              <w:right w:val="single" w:sz="1" w:space="0" w:color="CCCCCC"/>
            </w:tcBorders>
            <w:shd w:val="clear" w:color="auto" w:fill="1B3A6B"/>
            <w:tcMar>
              <w:top w:w="80" w:type="dxa"/>
              <w:left w:w="120" w:type="dxa"/>
              <w:bottom w:w="80" w:type="dxa"/>
              <w:right w:w="120" w:type="dxa"/>
            </w:tcMar>
          </w:tcPr>
          <w:p w14:paraId="4AC45AB3" w14:textId="77777777" w:rsidR="008A07CA" w:rsidRDefault="00000000">
            <w:r>
              <w:rPr>
                <w:b/>
                <w:bCs/>
                <w:color w:val="FFFFFF"/>
              </w:rPr>
              <w:t>Stage</w:t>
            </w:r>
          </w:p>
        </w:tc>
        <w:tc>
          <w:tcPr>
            <w:tcW w:w="1560" w:type="dxa"/>
            <w:tcBorders>
              <w:top w:val="single" w:sz="1" w:space="0" w:color="CCCCCC"/>
              <w:left w:val="single" w:sz="1" w:space="0" w:color="CCCCCC"/>
              <w:bottom w:val="single" w:sz="1" w:space="0" w:color="CCCCCC"/>
              <w:right w:val="single" w:sz="1" w:space="0" w:color="CCCCCC"/>
            </w:tcBorders>
            <w:shd w:val="clear" w:color="auto" w:fill="1B3A6B"/>
            <w:tcMar>
              <w:top w:w="80" w:type="dxa"/>
              <w:left w:w="120" w:type="dxa"/>
              <w:bottom w:w="80" w:type="dxa"/>
              <w:right w:w="120" w:type="dxa"/>
            </w:tcMar>
          </w:tcPr>
          <w:p w14:paraId="69D86D2D" w14:textId="77777777" w:rsidR="008A07CA" w:rsidRDefault="00000000">
            <w:r>
              <w:rPr>
                <w:b/>
                <w:bCs/>
                <w:color w:val="FFFFFF"/>
              </w:rPr>
              <w:t>FPG (mg/dL)</w:t>
            </w:r>
          </w:p>
        </w:tc>
        <w:tc>
          <w:tcPr>
            <w:tcW w:w="1560" w:type="dxa"/>
            <w:tcBorders>
              <w:top w:val="single" w:sz="1" w:space="0" w:color="CCCCCC"/>
              <w:left w:val="single" w:sz="1" w:space="0" w:color="CCCCCC"/>
              <w:bottom w:val="single" w:sz="1" w:space="0" w:color="CCCCCC"/>
              <w:right w:val="single" w:sz="1" w:space="0" w:color="CCCCCC"/>
            </w:tcBorders>
            <w:shd w:val="clear" w:color="auto" w:fill="1B3A6B"/>
            <w:tcMar>
              <w:top w:w="80" w:type="dxa"/>
              <w:left w:w="120" w:type="dxa"/>
              <w:bottom w:w="80" w:type="dxa"/>
              <w:right w:w="120" w:type="dxa"/>
            </w:tcMar>
          </w:tcPr>
          <w:p w14:paraId="2EE1439F" w14:textId="77777777" w:rsidR="008A07CA" w:rsidRDefault="00000000">
            <w:r>
              <w:rPr>
                <w:b/>
                <w:bCs/>
                <w:color w:val="FFFFFF"/>
              </w:rPr>
              <w:t>HbA1c (%)</w:t>
            </w:r>
          </w:p>
        </w:tc>
        <w:tc>
          <w:tcPr>
            <w:tcW w:w="1560" w:type="dxa"/>
            <w:tcBorders>
              <w:top w:val="single" w:sz="1" w:space="0" w:color="CCCCCC"/>
              <w:left w:val="single" w:sz="1" w:space="0" w:color="CCCCCC"/>
              <w:bottom w:val="single" w:sz="1" w:space="0" w:color="CCCCCC"/>
              <w:right w:val="single" w:sz="1" w:space="0" w:color="CCCCCC"/>
            </w:tcBorders>
            <w:shd w:val="clear" w:color="auto" w:fill="1B3A6B"/>
            <w:tcMar>
              <w:top w:w="80" w:type="dxa"/>
              <w:left w:w="120" w:type="dxa"/>
              <w:bottom w:w="80" w:type="dxa"/>
              <w:right w:w="120" w:type="dxa"/>
            </w:tcMar>
          </w:tcPr>
          <w:p w14:paraId="12EBF04C" w14:textId="77777777" w:rsidR="008A07CA" w:rsidRDefault="00000000">
            <w:r>
              <w:rPr>
                <w:b/>
                <w:bCs/>
                <w:color w:val="FFFFFF"/>
              </w:rPr>
              <w:t>2hr OGTT</w:t>
            </w:r>
          </w:p>
        </w:tc>
        <w:tc>
          <w:tcPr>
            <w:tcW w:w="1560" w:type="dxa"/>
            <w:tcBorders>
              <w:top w:val="single" w:sz="1" w:space="0" w:color="CCCCCC"/>
              <w:left w:val="single" w:sz="1" w:space="0" w:color="CCCCCC"/>
              <w:bottom w:val="single" w:sz="1" w:space="0" w:color="CCCCCC"/>
              <w:right w:val="single" w:sz="1" w:space="0" w:color="CCCCCC"/>
            </w:tcBorders>
            <w:shd w:val="clear" w:color="auto" w:fill="1B3A6B"/>
            <w:tcMar>
              <w:top w:w="80" w:type="dxa"/>
              <w:left w:w="120" w:type="dxa"/>
              <w:bottom w:w="80" w:type="dxa"/>
              <w:right w:w="120" w:type="dxa"/>
            </w:tcMar>
          </w:tcPr>
          <w:p w14:paraId="006E5CAB" w14:textId="77777777" w:rsidR="008A07CA" w:rsidRDefault="00000000">
            <w:r>
              <w:rPr>
                <w:b/>
                <w:bCs/>
                <w:color w:val="FFFFFF"/>
              </w:rPr>
              <w:t>Insulin</w:t>
            </w:r>
          </w:p>
        </w:tc>
        <w:tc>
          <w:tcPr>
            <w:tcW w:w="1560" w:type="dxa"/>
            <w:tcBorders>
              <w:top w:val="single" w:sz="1" w:space="0" w:color="CCCCCC"/>
              <w:left w:val="single" w:sz="1" w:space="0" w:color="CCCCCC"/>
              <w:bottom w:val="single" w:sz="1" w:space="0" w:color="CCCCCC"/>
              <w:right w:val="single" w:sz="1" w:space="0" w:color="CCCCCC"/>
            </w:tcBorders>
            <w:shd w:val="clear" w:color="auto" w:fill="1B3A6B"/>
            <w:tcMar>
              <w:top w:w="80" w:type="dxa"/>
              <w:left w:w="120" w:type="dxa"/>
              <w:bottom w:w="80" w:type="dxa"/>
              <w:right w:w="120" w:type="dxa"/>
            </w:tcMar>
          </w:tcPr>
          <w:p w14:paraId="24E5C36C" w14:textId="77777777" w:rsidR="008A07CA" w:rsidRDefault="00000000">
            <w:r>
              <w:rPr>
                <w:b/>
                <w:bCs/>
                <w:color w:val="FFFFFF"/>
              </w:rPr>
              <w:t>Dataset Count</w:t>
            </w:r>
          </w:p>
        </w:tc>
      </w:tr>
      <w:tr w:rsidR="008A07CA" w14:paraId="4A2B8679" w14:textId="77777777">
        <w:tc>
          <w:tcPr>
            <w:tcW w:w="1560" w:type="dxa"/>
            <w:tcBorders>
              <w:top w:val="single" w:sz="1" w:space="0" w:color="CCCCCC"/>
              <w:left w:val="single" w:sz="1" w:space="0" w:color="CCCCCC"/>
              <w:bottom w:val="single" w:sz="1" w:space="0" w:color="CCCCCC"/>
              <w:right w:val="single" w:sz="1" w:space="0" w:color="CCCCCC"/>
            </w:tcBorders>
            <w:shd w:val="clear" w:color="auto" w:fill="E9F7EF"/>
            <w:tcMar>
              <w:top w:w="80" w:type="dxa"/>
              <w:left w:w="120" w:type="dxa"/>
              <w:bottom w:w="80" w:type="dxa"/>
              <w:right w:w="120" w:type="dxa"/>
            </w:tcMar>
          </w:tcPr>
          <w:p w14:paraId="54DA14ED" w14:textId="77777777" w:rsidR="008A07CA" w:rsidRDefault="00000000">
            <w:r>
              <w:rPr>
                <w:b/>
                <w:bCs/>
                <w:color w:val="000000"/>
              </w:rPr>
              <w:t>No Diabetes</w:t>
            </w:r>
          </w:p>
        </w:tc>
        <w:tc>
          <w:tcPr>
            <w:tcW w:w="1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D61B814" w14:textId="77777777" w:rsidR="008A07CA" w:rsidRDefault="00000000">
            <w:r>
              <w:rPr>
                <w:color w:val="000000"/>
              </w:rPr>
              <w:t>&lt; 100</w:t>
            </w:r>
          </w:p>
        </w:tc>
        <w:tc>
          <w:tcPr>
            <w:tcW w:w="1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8DFAFAF" w14:textId="77777777" w:rsidR="008A07CA" w:rsidRDefault="00000000">
            <w:r>
              <w:rPr>
                <w:color w:val="000000"/>
              </w:rPr>
              <w:t>&lt; 5.7%</w:t>
            </w:r>
          </w:p>
        </w:tc>
        <w:tc>
          <w:tcPr>
            <w:tcW w:w="1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8638CEF" w14:textId="77777777" w:rsidR="008A07CA" w:rsidRDefault="00000000">
            <w:r>
              <w:rPr>
                <w:color w:val="000000"/>
              </w:rPr>
              <w:t>&lt; 140 mg/dL</w:t>
            </w:r>
          </w:p>
        </w:tc>
        <w:tc>
          <w:tcPr>
            <w:tcW w:w="1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E22AE27" w14:textId="77777777" w:rsidR="008A07CA" w:rsidRDefault="00000000">
            <w:r>
              <w:rPr>
                <w:color w:val="000000"/>
              </w:rPr>
              <w:t>Normal</w:t>
            </w:r>
          </w:p>
        </w:tc>
        <w:tc>
          <w:tcPr>
            <w:tcW w:w="1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37FD56D" w14:textId="77777777" w:rsidR="008A07CA" w:rsidRDefault="00000000">
            <w:r>
              <w:rPr>
                <w:color w:val="000000"/>
              </w:rPr>
              <w:t>7,737 (8.0%)</w:t>
            </w:r>
          </w:p>
        </w:tc>
      </w:tr>
      <w:tr w:rsidR="008A07CA" w14:paraId="7E74EE11" w14:textId="77777777">
        <w:tc>
          <w:tcPr>
            <w:tcW w:w="1560" w:type="dxa"/>
            <w:tcBorders>
              <w:top w:val="single" w:sz="1" w:space="0" w:color="CCCCCC"/>
              <w:left w:val="single" w:sz="1" w:space="0" w:color="CCCCCC"/>
              <w:bottom w:val="single" w:sz="1" w:space="0" w:color="CCCCCC"/>
              <w:right w:val="single" w:sz="1" w:space="0" w:color="CCCCCC"/>
            </w:tcBorders>
            <w:shd w:val="clear" w:color="auto" w:fill="FFF3CD"/>
            <w:tcMar>
              <w:top w:w="80" w:type="dxa"/>
              <w:left w:w="120" w:type="dxa"/>
              <w:bottom w:w="80" w:type="dxa"/>
              <w:right w:w="120" w:type="dxa"/>
            </w:tcMar>
          </w:tcPr>
          <w:p w14:paraId="02D29B90" w14:textId="77777777" w:rsidR="008A07CA" w:rsidRDefault="00000000">
            <w:r>
              <w:rPr>
                <w:b/>
                <w:bCs/>
                <w:color w:val="000000"/>
              </w:rPr>
              <w:t>Pre-Diabetes</w:t>
            </w:r>
          </w:p>
        </w:tc>
        <w:tc>
          <w:tcPr>
            <w:tcW w:w="1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4A6A15A" w14:textId="77777777" w:rsidR="008A07CA" w:rsidRDefault="00000000">
            <w:r>
              <w:rPr>
                <w:color w:val="000000"/>
              </w:rPr>
              <w:t>100-125</w:t>
            </w:r>
          </w:p>
        </w:tc>
        <w:tc>
          <w:tcPr>
            <w:tcW w:w="1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788E2D2" w14:textId="77777777" w:rsidR="008A07CA" w:rsidRDefault="00000000">
            <w:r>
              <w:rPr>
                <w:color w:val="000000"/>
              </w:rPr>
              <w:t>5.7-6.4%</w:t>
            </w:r>
          </w:p>
        </w:tc>
        <w:tc>
          <w:tcPr>
            <w:tcW w:w="1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9727D11" w14:textId="77777777" w:rsidR="008A07CA" w:rsidRDefault="00000000">
            <w:r>
              <w:rPr>
                <w:color w:val="000000"/>
              </w:rPr>
              <w:t>140-199 mg/dL</w:t>
            </w:r>
          </w:p>
        </w:tc>
        <w:tc>
          <w:tcPr>
            <w:tcW w:w="1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834A270" w14:textId="77777777" w:rsidR="008A07CA" w:rsidRDefault="00000000">
            <w:r>
              <w:rPr>
                <w:color w:val="000000"/>
              </w:rPr>
              <w:t>Elevated</w:t>
            </w:r>
          </w:p>
        </w:tc>
        <w:tc>
          <w:tcPr>
            <w:tcW w:w="1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6484B12" w14:textId="77777777" w:rsidR="008A07CA" w:rsidRDefault="00000000">
            <w:r>
              <w:rPr>
                <w:color w:val="000000"/>
              </w:rPr>
              <w:t>31,013 (31.9%)</w:t>
            </w:r>
          </w:p>
        </w:tc>
      </w:tr>
      <w:tr w:rsidR="008A07CA" w14:paraId="078D8D69" w14:textId="77777777">
        <w:tc>
          <w:tcPr>
            <w:tcW w:w="1560" w:type="dxa"/>
            <w:tcBorders>
              <w:top w:val="single" w:sz="1" w:space="0" w:color="CCCCCC"/>
              <w:left w:val="single" w:sz="1" w:space="0" w:color="CCCCCC"/>
              <w:bottom w:val="single" w:sz="1" w:space="0" w:color="CCCCCC"/>
              <w:right w:val="single" w:sz="1" w:space="0" w:color="CCCCCC"/>
            </w:tcBorders>
            <w:shd w:val="clear" w:color="auto" w:fill="F4ECF7"/>
            <w:tcMar>
              <w:top w:w="80" w:type="dxa"/>
              <w:left w:w="120" w:type="dxa"/>
              <w:bottom w:w="80" w:type="dxa"/>
              <w:right w:w="120" w:type="dxa"/>
            </w:tcMar>
          </w:tcPr>
          <w:p w14:paraId="66DDFE08" w14:textId="77777777" w:rsidR="008A07CA" w:rsidRDefault="00000000">
            <w:r>
              <w:rPr>
                <w:b/>
                <w:bCs/>
                <w:color w:val="000000"/>
              </w:rPr>
              <w:t>Type 1</w:t>
            </w:r>
          </w:p>
        </w:tc>
        <w:tc>
          <w:tcPr>
            <w:tcW w:w="1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D675C7C" w14:textId="77777777" w:rsidR="008A07CA" w:rsidRDefault="00000000">
            <w:r>
              <w:rPr>
                <w:color w:val="000000"/>
              </w:rPr>
              <w:t>≥ 126</w:t>
            </w:r>
          </w:p>
        </w:tc>
        <w:tc>
          <w:tcPr>
            <w:tcW w:w="1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153EA3F" w14:textId="77777777" w:rsidR="008A07CA" w:rsidRDefault="00000000">
            <w:r>
              <w:rPr>
                <w:color w:val="000000"/>
              </w:rPr>
              <w:t>≥ 6.5%</w:t>
            </w:r>
          </w:p>
        </w:tc>
        <w:tc>
          <w:tcPr>
            <w:tcW w:w="1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B4E4D9F" w14:textId="77777777" w:rsidR="008A07CA" w:rsidRDefault="00000000">
            <w:r>
              <w:rPr>
                <w:color w:val="000000"/>
              </w:rPr>
              <w:t>≥ 200 mg/dL</w:t>
            </w:r>
          </w:p>
        </w:tc>
        <w:tc>
          <w:tcPr>
            <w:tcW w:w="1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604CBB2" w14:textId="77777777" w:rsidR="008A07CA" w:rsidRDefault="00000000">
            <w:r>
              <w:rPr>
                <w:color w:val="000000"/>
              </w:rPr>
              <w:t>Very Low / None</w:t>
            </w:r>
          </w:p>
        </w:tc>
        <w:tc>
          <w:tcPr>
            <w:tcW w:w="1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10713C1" w14:textId="77777777" w:rsidR="008A07CA" w:rsidRDefault="00000000">
            <w:r>
              <w:rPr>
                <w:color w:val="000000"/>
              </w:rPr>
              <w:t>117 (0.1%)</w:t>
            </w:r>
          </w:p>
        </w:tc>
      </w:tr>
      <w:tr w:rsidR="008A07CA" w14:paraId="3427FB40" w14:textId="77777777">
        <w:tc>
          <w:tcPr>
            <w:tcW w:w="1560" w:type="dxa"/>
            <w:tcBorders>
              <w:top w:val="single" w:sz="1" w:space="0" w:color="CCCCCC"/>
              <w:left w:val="single" w:sz="1" w:space="0" w:color="CCCCCC"/>
              <w:bottom w:val="single" w:sz="1" w:space="0" w:color="CCCCCC"/>
              <w:right w:val="single" w:sz="1" w:space="0" w:color="CCCCCC"/>
            </w:tcBorders>
            <w:shd w:val="clear" w:color="auto" w:fill="FDECEA"/>
            <w:tcMar>
              <w:top w:w="80" w:type="dxa"/>
              <w:left w:w="120" w:type="dxa"/>
              <w:bottom w:w="80" w:type="dxa"/>
              <w:right w:w="120" w:type="dxa"/>
            </w:tcMar>
          </w:tcPr>
          <w:p w14:paraId="5C76B4C2" w14:textId="77777777" w:rsidR="008A07CA" w:rsidRDefault="00000000">
            <w:r>
              <w:rPr>
                <w:b/>
                <w:bCs/>
                <w:color w:val="000000"/>
              </w:rPr>
              <w:t>Type 2</w:t>
            </w:r>
          </w:p>
        </w:tc>
        <w:tc>
          <w:tcPr>
            <w:tcW w:w="1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10163FC" w14:textId="77777777" w:rsidR="008A07CA" w:rsidRDefault="00000000">
            <w:r>
              <w:rPr>
                <w:color w:val="000000"/>
              </w:rPr>
              <w:t>≥ 126</w:t>
            </w:r>
          </w:p>
        </w:tc>
        <w:tc>
          <w:tcPr>
            <w:tcW w:w="1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D65931D" w14:textId="77777777" w:rsidR="008A07CA" w:rsidRDefault="00000000">
            <w:r>
              <w:rPr>
                <w:color w:val="000000"/>
              </w:rPr>
              <w:t>≥ 6.5%</w:t>
            </w:r>
          </w:p>
        </w:tc>
        <w:tc>
          <w:tcPr>
            <w:tcW w:w="1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CC98DD5" w14:textId="77777777" w:rsidR="008A07CA" w:rsidRDefault="00000000">
            <w:r>
              <w:rPr>
                <w:color w:val="000000"/>
              </w:rPr>
              <w:t>≥ 200 mg/dL</w:t>
            </w:r>
          </w:p>
        </w:tc>
        <w:tc>
          <w:tcPr>
            <w:tcW w:w="1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B531D76" w14:textId="77777777" w:rsidR="008A07CA" w:rsidRDefault="00000000">
            <w:r>
              <w:rPr>
                <w:color w:val="000000"/>
              </w:rPr>
              <w:t>High then Low</w:t>
            </w:r>
          </w:p>
        </w:tc>
        <w:tc>
          <w:tcPr>
            <w:tcW w:w="1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E9E2617" w14:textId="77777777" w:rsidR="008A07CA" w:rsidRDefault="00000000">
            <w:r>
              <w:rPr>
                <w:color w:val="000000"/>
              </w:rPr>
              <w:t>58,163 (59.8%)</w:t>
            </w:r>
          </w:p>
        </w:tc>
      </w:tr>
      <w:tr w:rsidR="008A07CA" w14:paraId="4276C4B3" w14:textId="77777777">
        <w:tc>
          <w:tcPr>
            <w:tcW w:w="1560" w:type="dxa"/>
            <w:tcBorders>
              <w:top w:val="single" w:sz="1" w:space="0" w:color="CCCCCC"/>
              <w:left w:val="single" w:sz="1" w:space="0" w:color="CCCCCC"/>
              <w:bottom w:val="single" w:sz="1" w:space="0" w:color="CCCCCC"/>
              <w:right w:val="single" w:sz="1" w:space="0" w:color="CCCCCC"/>
            </w:tcBorders>
            <w:shd w:val="clear" w:color="auto" w:fill="D6E4F0"/>
            <w:tcMar>
              <w:top w:w="80" w:type="dxa"/>
              <w:left w:w="120" w:type="dxa"/>
              <w:bottom w:w="80" w:type="dxa"/>
              <w:right w:w="120" w:type="dxa"/>
            </w:tcMar>
          </w:tcPr>
          <w:p w14:paraId="7CDE973E" w14:textId="77777777" w:rsidR="008A07CA" w:rsidRDefault="00000000">
            <w:r>
              <w:rPr>
                <w:b/>
                <w:bCs/>
                <w:color w:val="000000"/>
              </w:rPr>
              <w:t>Gestational</w:t>
            </w:r>
          </w:p>
        </w:tc>
        <w:tc>
          <w:tcPr>
            <w:tcW w:w="1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25D334B" w14:textId="77777777" w:rsidR="008A07CA" w:rsidRDefault="00000000">
            <w:r>
              <w:rPr>
                <w:color w:val="000000"/>
              </w:rPr>
              <w:t>≥ 92</w:t>
            </w:r>
          </w:p>
        </w:tc>
        <w:tc>
          <w:tcPr>
            <w:tcW w:w="1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C856AD5" w14:textId="77777777" w:rsidR="008A07CA" w:rsidRDefault="00000000">
            <w:r>
              <w:rPr>
                <w:color w:val="000000"/>
              </w:rPr>
              <w:t>≥ 5.7%</w:t>
            </w:r>
          </w:p>
        </w:tc>
        <w:tc>
          <w:tcPr>
            <w:tcW w:w="1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5605C20" w14:textId="77777777" w:rsidR="008A07CA" w:rsidRDefault="00000000">
            <w:r>
              <w:rPr>
                <w:color w:val="000000"/>
              </w:rPr>
              <w:t>≥ 153 mg/dL</w:t>
            </w:r>
          </w:p>
        </w:tc>
        <w:tc>
          <w:tcPr>
            <w:tcW w:w="1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CBB13F0" w14:textId="77777777" w:rsidR="008A07CA" w:rsidRDefault="00000000">
            <w:r>
              <w:rPr>
                <w:color w:val="000000"/>
              </w:rPr>
              <w:t>Variable</w:t>
            </w:r>
          </w:p>
        </w:tc>
        <w:tc>
          <w:tcPr>
            <w:tcW w:w="1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FF8AFA3" w14:textId="77777777" w:rsidR="008A07CA" w:rsidRDefault="00000000">
            <w:r>
              <w:rPr>
                <w:color w:val="000000"/>
              </w:rPr>
              <w:t>267 (0.3%)</w:t>
            </w:r>
          </w:p>
        </w:tc>
      </w:tr>
    </w:tbl>
    <w:p w14:paraId="6164E19D" w14:textId="77777777" w:rsidR="008A07CA" w:rsidRDefault="008A07CA">
      <w:pPr>
        <w:spacing w:before="100"/>
      </w:pPr>
    </w:p>
    <w:p w14:paraId="76303506" w14:textId="77777777" w:rsidR="008A07CA" w:rsidRDefault="00000000">
      <w:pPr>
        <w:spacing w:before="80" w:after="100"/>
      </w:pPr>
      <w:r>
        <w:rPr>
          <w:i/>
          <w:iCs/>
          <w:color w:val="5D6D7E"/>
          <w:sz w:val="18"/>
          <w:szCs w:val="18"/>
        </w:rPr>
        <w:t>FPG = Fasting Plasma Glucose; OGTT = Oral Glucose Tolerance Test. Thresholds per American Diabetes Association (ADA) 2024 Standards of Care.</w:t>
      </w:r>
    </w:p>
    <w:p w14:paraId="326F2416" w14:textId="77777777" w:rsidR="008A07CA" w:rsidRDefault="008A07CA">
      <w:pPr>
        <w:spacing w:before="120"/>
      </w:pPr>
    </w:p>
    <w:p w14:paraId="6CC83209" w14:textId="77777777" w:rsidR="008A07CA" w:rsidRDefault="00000000">
      <w:pPr>
        <w:pStyle w:val="Heading2"/>
      </w:pPr>
      <w:r>
        <w:t>3.1 No Diabetes</w:t>
      </w:r>
    </w:p>
    <w:p w14:paraId="57347F80" w14:textId="77777777" w:rsidR="008A07CA" w:rsidRDefault="00000000">
      <w:pPr>
        <w:spacing w:before="80" w:after="100"/>
      </w:pPr>
      <w:r>
        <w:rPr>
          <w:color w:val="000000"/>
        </w:rPr>
        <w:lastRenderedPageBreak/>
        <w:t>Patients with no diabetes maintain normal glucose homeostasis. Fasting plasma glucose is below 100 mg/dL and HbA1c is below 5.7%. These patients serve as the healthy baseline in the dataset. While they are not at clinical risk, lifestyle factors such as sedentary behaviour, poor diet, and family history may place them on a trajectory toward pre-diabetes. This stage is underrepresented (8%) in the dataset, which is expected in a clinical population.</w:t>
      </w:r>
    </w:p>
    <w:p w14:paraId="140C31A3" w14:textId="77777777" w:rsidR="008A07CA" w:rsidRDefault="008A07CA">
      <w:pPr>
        <w:spacing w:before="80"/>
      </w:pPr>
    </w:p>
    <w:p w14:paraId="32D8EF6A" w14:textId="77777777" w:rsidR="008A07CA" w:rsidRDefault="00000000">
      <w:pPr>
        <w:pStyle w:val="Heading2"/>
      </w:pPr>
      <w:r>
        <w:t xml:space="preserve">3.2 </w:t>
      </w:r>
      <w:proofErr w:type="gramStart"/>
      <w:r>
        <w:t>Pre-Diabetes</w:t>
      </w:r>
      <w:proofErr w:type="gramEnd"/>
    </w:p>
    <w:p w14:paraId="47658DFF" w14:textId="77777777" w:rsidR="008A07CA" w:rsidRDefault="00000000">
      <w:pPr>
        <w:spacing w:before="80" w:after="100"/>
      </w:pPr>
      <w:r>
        <w:rPr>
          <w:color w:val="000000"/>
        </w:rPr>
        <w:t>Pre-diabetes (also called impaired fasting glucose or impaired glucose tolerance) represents a metabolic state between normal and diabetic. Blood glucose is consistently elevated but not high enough to meet the diagnostic threshold for diabetes. Approximately 70% of people with pre-diabetes will develop Type 2 diabetes within 10 years without intervention.</w:t>
      </w:r>
    </w:p>
    <w:p w14:paraId="1E055D56" w14:textId="77777777" w:rsidR="008A07CA" w:rsidRDefault="00000000">
      <w:pPr>
        <w:spacing w:before="80" w:after="100"/>
      </w:pPr>
      <w:r>
        <w:rPr>
          <w:color w:val="000000"/>
        </w:rPr>
        <w:t xml:space="preserve">Clinical significance: This is the most actionable stage. Lifestyle interventions (dietary change, increased physical activity) can reverse pre-diabetes in </w:t>
      </w:r>
      <w:proofErr w:type="gramStart"/>
      <w:r>
        <w:rPr>
          <w:color w:val="000000"/>
        </w:rPr>
        <w:t>the majority of</w:t>
      </w:r>
      <w:proofErr w:type="gramEnd"/>
      <w:r>
        <w:rPr>
          <w:color w:val="000000"/>
        </w:rPr>
        <w:t xml:space="preserve"> patients. This makes feature analysis of this group critically important for BC Analytics' clinical recommendations.</w:t>
      </w:r>
    </w:p>
    <w:p w14:paraId="4EDA5CB8" w14:textId="77777777" w:rsidR="008A07CA" w:rsidRDefault="00000000">
      <w:pPr>
        <w:pBdr>
          <w:top w:val="single" w:sz="2" w:space="0" w:color="FFF3CD"/>
          <w:left w:val="thick" w:sz="12" w:space="0" w:color="D4830A"/>
          <w:bottom w:val="single" w:sz="2" w:space="0" w:color="FFF3CD"/>
        </w:pBdr>
        <w:shd w:val="clear" w:color="auto" w:fill="FFF3CD"/>
        <w:spacing w:before="160" w:after="160"/>
        <w:ind w:left="360" w:right="360"/>
      </w:pPr>
      <w:r>
        <w:rPr>
          <w:i/>
          <w:iCs/>
        </w:rPr>
        <w:t>Pre-Diabetes is the highest-value intervention target. Models should be optimised to identify this group accurately, as false negatives carry the highest long-term cost.</w:t>
      </w:r>
    </w:p>
    <w:p w14:paraId="2A23ECB1" w14:textId="77777777" w:rsidR="008A07CA" w:rsidRDefault="008A07CA">
      <w:pPr>
        <w:spacing w:before="80"/>
      </w:pPr>
    </w:p>
    <w:p w14:paraId="3F3C00B7" w14:textId="77777777" w:rsidR="008A07CA" w:rsidRDefault="00000000">
      <w:pPr>
        <w:pStyle w:val="Heading2"/>
      </w:pPr>
      <w:r>
        <w:t>3.3 Type 1 Diabetes</w:t>
      </w:r>
    </w:p>
    <w:p w14:paraId="7BF45214" w14:textId="77777777" w:rsidR="008A07CA" w:rsidRDefault="00000000">
      <w:pPr>
        <w:spacing w:before="80" w:after="100"/>
      </w:pPr>
      <w:r>
        <w:rPr>
          <w:color w:val="000000"/>
        </w:rPr>
        <w:t>Type 1 diabetes is an autoimmune condition in which the immune system destroys insulin-producing beta-cells in the pancreas. Patients produce little to no insulin and require lifelong insulin therapy to survive. It accounts for 5-10% of all diabetes cases globally but only 0.1% of this dataset, which is likely due to the dataset's focus on lifestyle-driven risk factors.</w:t>
      </w:r>
    </w:p>
    <w:p w14:paraId="66FDD528" w14:textId="77777777" w:rsidR="008A07CA" w:rsidRDefault="00000000">
      <w:pPr>
        <w:spacing w:before="80" w:after="100"/>
      </w:pPr>
      <w:r>
        <w:rPr>
          <w:color w:val="000000"/>
        </w:rPr>
        <w:t>Distinguishing features in data: Type 1 patients typically present with very low insulin levels (the pancreas is not producing it), younger onset age, lower BMI (as they are not insulin-resistant), and glucose levels that are severely elevated without lifestyle explanation.</w:t>
      </w:r>
    </w:p>
    <w:p w14:paraId="32E73E2B" w14:textId="77777777" w:rsidR="008A07CA" w:rsidRDefault="00000000">
      <w:pPr>
        <w:pBdr>
          <w:top w:val="single" w:sz="2" w:space="0" w:color="F4ECF7"/>
          <w:left w:val="thick" w:sz="12" w:space="0" w:color="5B2C6F"/>
          <w:bottom w:val="single" w:sz="2" w:space="0" w:color="F4ECF7"/>
        </w:pBdr>
        <w:shd w:val="clear" w:color="auto" w:fill="F4ECF7"/>
        <w:spacing w:before="160" w:after="160"/>
        <w:ind w:left="360" w:right="360"/>
      </w:pPr>
      <w:r>
        <w:rPr>
          <w:i/>
          <w:iCs/>
        </w:rPr>
        <w:t>Modelling caution: With only 117 cases, Type 1 is severely underrepresented. Models will struggle to classify this group without oversampling techniques (e.g., SMOTE). Consider whether Type 1 needs a separate binary classifier.</w:t>
      </w:r>
    </w:p>
    <w:p w14:paraId="6C48BAE8" w14:textId="77777777" w:rsidR="008A07CA" w:rsidRDefault="008A07CA">
      <w:pPr>
        <w:spacing w:before="80"/>
      </w:pPr>
    </w:p>
    <w:p w14:paraId="3D373477" w14:textId="77777777" w:rsidR="008A07CA" w:rsidRDefault="00000000">
      <w:pPr>
        <w:pStyle w:val="Heading2"/>
      </w:pPr>
      <w:r>
        <w:t>3.4 Type 2 Diabetes</w:t>
      </w:r>
    </w:p>
    <w:p w14:paraId="09E49F83" w14:textId="77777777" w:rsidR="008A07CA" w:rsidRDefault="00000000">
      <w:pPr>
        <w:spacing w:before="80" w:after="100"/>
      </w:pPr>
      <w:r>
        <w:rPr>
          <w:color w:val="000000"/>
        </w:rPr>
        <w:t>Type 2 diabetes is the dominant form in this dataset (59.8%) and in global populations (90-95% of all diabetes cases). It develops progressively through insulin resistance, where cells fail to respond normally to insulin. The pancreas initially compensates by producing more insulin (leading to high insulin levels), but eventually exhausts itself, and insulin secretion declines.</w:t>
      </w:r>
    </w:p>
    <w:p w14:paraId="22C815BF" w14:textId="77777777" w:rsidR="008A07CA" w:rsidRDefault="00000000">
      <w:pPr>
        <w:spacing w:before="80" w:after="100"/>
      </w:pPr>
      <w:r>
        <w:rPr>
          <w:color w:val="000000"/>
        </w:rPr>
        <w:t>Type 2 is strongly lifestyle-driven: obesity, physical inactivity, poor diet, poor sleep, and stress are primary contributors. It is also heavily influenced by genetics, age, and ethnicity. Unlike Type 1, it can often be managed or reversed through lifestyle modification, particularly in early stages.</w:t>
      </w:r>
    </w:p>
    <w:p w14:paraId="70F6F9DB" w14:textId="77777777" w:rsidR="008A07CA" w:rsidRDefault="00000000">
      <w:pPr>
        <w:pStyle w:val="ListParagraph"/>
        <w:numPr>
          <w:ilvl w:val="0"/>
          <w:numId w:val="2"/>
        </w:numPr>
        <w:spacing w:before="60" w:after="60"/>
      </w:pPr>
      <w:r>
        <w:t>Stage 1 (Insulin resistance): Cells ignore insulin; pancreas overproduces. Glucose appears normal but insulin is elevated.</w:t>
      </w:r>
    </w:p>
    <w:p w14:paraId="4DDC2C9C" w14:textId="77777777" w:rsidR="008A07CA" w:rsidRDefault="00000000">
      <w:pPr>
        <w:pStyle w:val="ListParagraph"/>
        <w:numPr>
          <w:ilvl w:val="0"/>
          <w:numId w:val="2"/>
        </w:numPr>
        <w:spacing w:before="60" w:after="60"/>
      </w:pPr>
      <w:r>
        <w:t>Stage 2 (Beta-cell compensation failure): Insulin production cannot keep up; glucose levels begin rising.</w:t>
      </w:r>
    </w:p>
    <w:p w14:paraId="12A845CD" w14:textId="77777777" w:rsidR="008A07CA" w:rsidRDefault="00000000">
      <w:pPr>
        <w:pStyle w:val="ListParagraph"/>
        <w:numPr>
          <w:ilvl w:val="0"/>
          <w:numId w:val="2"/>
        </w:numPr>
        <w:spacing w:before="60" w:after="60"/>
      </w:pPr>
      <w:r>
        <w:t>Stage 3 (Overt T2D): Full clinical diabetes. HbA1c ≥ 6.5%, FPG ≥ 126 mg/dL.</w:t>
      </w:r>
    </w:p>
    <w:p w14:paraId="5C8A76E1" w14:textId="77777777" w:rsidR="008A07CA" w:rsidRDefault="008A07CA">
      <w:pPr>
        <w:spacing w:before="80"/>
      </w:pPr>
    </w:p>
    <w:p w14:paraId="46FF726D" w14:textId="77777777" w:rsidR="008A07CA" w:rsidRDefault="00000000">
      <w:pPr>
        <w:pStyle w:val="Heading2"/>
      </w:pPr>
      <w:r>
        <w:lastRenderedPageBreak/>
        <w:t>3.5 Gestational Diabetes</w:t>
      </w:r>
    </w:p>
    <w:p w14:paraId="50D58D86" w14:textId="77777777" w:rsidR="008A07CA" w:rsidRDefault="00000000">
      <w:pPr>
        <w:spacing w:before="80" w:after="100"/>
      </w:pPr>
      <w:r>
        <w:rPr>
          <w:color w:val="000000"/>
        </w:rPr>
        <w:t>Gestational diabetes mellitus (GDM) occurs during pregnancy when hormones produced by the placenta cause insulin resistance. It typically resolves after delivery but carries significant long-term risk: women with GDM have a 50% lifetime risk of developing Type 2 diabetes. Children born to mothers with GDM are also at increased risk.</w:t>
      </w:r>
    </w:p>
    <w:p w14:paraId="2BA323EC" w14:textId="77777777" w:rsidR="008A07CA" w:rsidRDefault="00000000">
      <w:pPr>
        <w:spacing w:before="80" w:after="100"/>
      </w:pPr>
      <w:r>
        <w:rPr>
          <w:color w:val="000000"/>
        </w:rPr>
        <w:t>In this dataset, only 267 cases are labelled as Gestational. Given that the dataset does not include a pregnancy indicator feature, these cases may have been identified retrospectively or through self-report. The diagnosis thresholds for GDM differ from general diabetes: FPG ≥ 92 mg/dL or 1-hr post-glucose ≥ 180 mg/dL during an OGTT.</w:t>
      </w:r>
    </w:p>
    <w:p w14:paraId="2CA5F133" w14:textId="77777777" w:rsidR="008A07CA" w:rsidRDefault="00000000">
      <w:pPr>
        <w:pBdr>
          <w:top w:val="single" w:sz="2" w:space="0" w:color="D6E4F0"/>
          <w:left w:val="thick" w:sz="12" w:space="0" w:color="2E75B6"/>
          <w:bottom w:val="single" w:sz="2" w:space="0" w:color="D6E4F0"/>
        </w:pBdr>
        <w:shd w:val="clear" w:color="auto" w:fill="D6E4F0"/>
        <w:spacing w:before="160" w:after="160"/>
        <w:ind w:left="360" w:right="360"/>
      </w:pPr>
      <w:r>
        <w:rPr>
          <w:i/>
          <w:iCs/>
        </w:rPr>
        <w:t xml:space="preserve">Gestational diabetes has different thresholds than general diabetes and is not detectable from lifestyle features alone. Consider treating this class separately or merging with </w:t>
      </w:r>
      <w:proofErr w:type="gramStart"/>
      <w:r>
        <w:rPr>
          <w:i/>
          <w:iCs/>
        </w:rPr>
        <w:t>Pre-Diabetes</w:t>
      </w:r>
      <w:proofErr w:type="gramEnd"/>
      <w:r>
        <w:rPr>
          <w:i/>
          <w:iCs/>
        </w:rPr>
        <w:t xml:space="preserve"> for modelling purposes.</w:t>
      </w:r>
    </w:p>
    <w:p w14:paraId="7522EA8B" w14:textId="77777777" w:rsidR="008A07CA" w:rsidRDefault="00000000">
      <w:r>
        <w:br/>
      </w:r>
    </w:p>
    <w:p w14:paraId="578CDF77" w14:textId="77777777" w:rsidR="008A07CA" w:rsidRDefault="00000000">
      <w:pPr>
        <w:pStyle w:val="Heading1"/>
        <w:pBdr>
          <w:bottom w:val="single" w:sz="6" w:space="1" w:color="2E75B6"/>
        </w:pBdr>
      </w:pPr>
      <w:r>
        <w:t>4. Key Risk Factors</w:t>
      </w:r>
    </w:p>
    <w:p w14:paraId="5265B391" w14:textId="77777777" w:rsidR="008A07CA" w:rsidRDefault="00000000">
      <w:pPr>
        <w:spacing w:before="80" w:after="100"/>
      </w:pPr>
      <w:r>
        <w:rPr>
          <w:color w:val="000000"/>
        </w:rPr>
        <w:t>Diabetes risk is multifactorial. Risk factors fall into four categories: clinical/biomarker, lifestyle, demographic, and medical history. The table below summarises the major risk factors and their clinical basis.</w:t>
      </w:r>
    </w:p>
    <w:p w14:paraId="22A6ABA0" w14:textId="77777777" w:rsidR="008A07CA" w:rsidRDefault="008A07CA">
      <w:pPr>
        <w:spacing w:before="80"/>
      </w:pPr>
    </w:p>
    <w:p w14:paraId="6F12ECD1" w14:textId="77777777" w:rsidR="008A07CA" w:rsidRDefault="00000000">
      <w:pPr>
        <w:pStyle w:val="Heading2"/>
      </w:pPr>
      <w:r>
        <w:t>4.1 Clinical Biomarker Risk Factors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00"/>
        <w:gridCol w:w="1800"/>
        <w:gridCol w:w="5360"/>
      </w:tblGrid>
      <w:tr w:rsidR="008A07CA" w14:paraId="51690F17" w14:textId="77777777">
        <w:tc>
          <w:tcPr>
            <w:tcW w:w="2200" w:type="dxa"/>
            <w:tcBorders>
              <w:top w:val="single" w:sz="1" w:space="0" w:color="CCCCCC"/>
              <w:left w:val="single" w:sz="1" w:space="0" w:color="CCCCCC"/>
              <w:bottom w:val="single" w:sz="1" w:space="0" w:color="CCCCCC"/>
              <w:right w:val="single" w:sz="1" w:space="0" w:color="CCCCCC"/>
            </w:tcBorders>
            <w:shd w:val="clear" w:color="auto" w:fill="1B3A6B"/>
            <w:tcMar>
              <w:top w:w="80" w:type="dxa"/>
              <w:left w:w="120" w:type="dxa"/>
              <w:bottom w:w="80" w:type="dxa"/>
              <w:right w:w="120" w:type="dxa"/>
            </w:tcMar>
          </w:tcPr>
          <w:p w14:paraId="44140A02" w14:textId="77777777" w:rsidR="008A07CA" w:rsidRDefault="00000000">
            <w:r>
              <w:rPr>
                <w:b/>
                <w:bCs/>
                <w:color w:val="FFFFFF"/>
              </w:rPr>
              <w:t>Biomarker</w:t>
            </w:r>
          </w:p>
        </w:tc>
        <w:tc>
          <w:tcPr>
            <w:tcW w:w="1800" w:type="dxa"/>
            <w:tcBorders>
              <w:top w:val="single" w:sz="1" w:space="0" w:color="CCCCCC"/>
              <w:left w:val="single" w:sz="1" w:space="0" w:color="CCCCCC"/>
              <w:bottom w:val="single" w:sz="1" w:space="0" w:color="CCCCCC"/>
              <w:right w:val="single" w:sz="1" w:space="0" w:color="CCCCCC"/>
            </w:tcBorders>
            <w:shd w:val="clear" w:color="auto" w:fill="1B3A6B"/>
            <w:tcMar>
              <w:top w:w="80" w:type="dxa"/>
              <w:left w:w="120" w:type="dxa"/>
              <w:bottom w:w="80" w:type="dxa"/>
              <w:right w:w="120" w:type="dxa"/>
            </w:tcMar>
          </w:tcPr>
          <w:p w14:paraId="4FD0C0C6" w14:textId="77777777" w:rsidR="008A07CA" w:rsidRDefault="00000000">
            <w:r>
              <w:rPr>
                <w:b/>
                <w:bCs/>
                <w:color w:val="FFFFFF"/>
              </w:rPr>
              <w:t>Risk Threshold</w:t>
            </w:r>
          </w:p>
        </w:tc>
        <w:tc>
          <w:tcPr>
            <w:tcW w:w="5360" w:type="dxa"/>
            <w:tcBorders>
              <w:top w:val="single" w:sz="1" w:space="0" w:color="CCCCCC"/>
              <w:left w:val="single" w:sz="1" w:space="0" w:color="CCCCCC"/>
              <w:bottom w:val="single" w:sz="1" w:space="0" w:color="CCCCCC"/>
              <w:right w:val="single" w:sz="1" w:space="0" w:color="CCCCCC"/>
            </w:tcBorders>
            <w:shd w:val="clear" w:color="auto" w:fill="1B3A6B"/>
            <w:tcMar>
              <w:top w:w="80" w:type="dxa"/>
              <w:left w:w="120" w:type="dxa"/>
              <w:bottom w:w="80" w:type="dxa"/>
              <w:right w:w="120" w:type="dxa"/>
            </w:tcMar>
          </w:tcPr>
          <w:p w14:paraId="168041CD" w14:textId="77777777" w:rsidR="008A07CA" w:rsidRDefault="00000000">
            <w:r>
              <w:rPr>
                <w:b/>
                <w:bCs/>
                <w:color w:val="FFFFFF"/>
              </w:rPr>
              <w:t>Clinical Rationale</w:t>
            </w:r>
          </w:p>
        </w:tc>
      </w:tr>
      <w:tr w:rsidR="008A07CA" w14:paraId="59135E57" w14:textId="77777777">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674D958" w14:textId="77777777" w:rsidR="008A07CA" w:rsidRDefault="00000000">
            <w:r>
              <w:rPr>
                <w:b/>
                <w:bCs/>
                <w:color w:val="000000"/>
              </w:rPr>
              <w:t>HbA1c</w:t>
            </w:r>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BC2E5B4" w14:textId="77777777" w:rsidR="008A07CA" w:rsidRDefault="00000000">
            <w:r>
              <w:rPr>
                <w:color w:val="000000"/>
              </w:rPr>
              <w:t>≥ 5.7%</w:t>
            </w:r>
          </w:p>
        </w:tc>
        <w:tc>
          <w:tcPr>
            <w:tcW w:w="5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EF2F0F9" w14:textId="77777777" w:rsidR="008A07CA" w:rsidRDefault="00000000">
            <w:r>
              <w:rPr>
                <w:color w:val="000000"/>
              </w:rPr>
              <w:t>Gold-standard marker of average blood glucose over 2-3 months. Values 5.7-6.4% indicate pre-diabetes; ≥ 6.5% confirms diabetes. Not affected by short-term dietary changes.</w:t>
            </w:r>
          </w:p>
        </w:tc>
      </w:tr>
      <w:tr w:rsidR="008A07CA" w14:paraId="17E308AC" w14:textId="77777777">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717204C" w14:textId="77777777" w:rsidR="008A07CA" w:rsidRDefault="00000000">
            <w:r>
              <w:rPr>
                <w:b/>
                <w:bCs/>
                <w:color w:val="000000"/>
              </w:rPr>
              <w:t>Fasting Glucose</w:t>
            </w:r>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D3EE4A5" w14:textId="77777777" w:rsidR="008A07CA" w:rsidRDefault="00000000">
            <w:r>
              <w:rPr>
                <w:color w:val="000000"/>
              </w:rPr>
              <w:t>≥ 100 mg/dL</w:t>
            </w:r>
          </w:p>
        </w:tc>
        <w:tc>
          <w:tcPr>
            <w:tcW w:w="5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0D64A08" w14:textId="77777777" w:rsidR="008A07CA" w:rsidRDefault="00000000">
            <w:r>
              <w:rPr>
                <w:color w:val="000000"/>
              </w:rPr>
              <w:t>Plasma glucose after 8-hour fast. Elevated fasting glucose indicates impaired hepatic glucose regulation, a hallmark of insulin resistance.</w:t>
            </w:r>
          </w:p>
        </w:tc>
      </w:tr>
      <w:tr w:rsidR="008A07CA" w14:paraId="036E072E" w14:textId="77777777">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BD07A4F" w14:textId="77777777" w:rsidR="008A07CA" w:rsidRDefault="00000000">
            <w:r>
              <w:rPr>
                <w:b/>
                <w:bCs/>
                <w:color w:val="000000"/>
              </w:rPr>
              <w:t>Postprandial Glucose</w:t>
            </w:r>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7F12203" w14:textId="77777777" w:rsidR="008A07CA" w:rsidRDefault="00000000">
            <w:r>
              <w:rPr>
                <w:color w:val="000000"/>
              </w:rPr>
              <w:t>≥ 140 mg/dL</w:t>
            </w:r>
          </w:p>
        </w:tc>
        <w:tc>
          <w:tcPr>
            <w:tcW w:w="5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8B28390" w14:textId="77777777" w:rsidR="008A07CA" w:rsidRDefault="00000000">
            <w:r>
              <w:rPr>
                <w:color w:val="000000"/>
              </w:rPr>
              <w:t>Blood glucose 2 hours after eating. Elevated values indicate impaired glucose clearance, often elevated before fasting glucose becomes abnormal.</w:t>
            </w:r>
          </w:p>
        </w:tc>
      </w:tr>
      <w:tr w:rsidR="008A07CA" w14:paraId="448FEB93" w14:textId="77777777">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F161759" w14:textId="77777777" w:rsidR="008A07CA" w:rsidRDefault="00000000">
            <w:r>
              <w:rPr>
                <w:b/>
                <w:bCs/>
                <w:color w:val="000000"/>
              </w:rPr>
              <w:t>Insulin Level</w:t>
            </w:r>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D8A8E8A" w14:textId="77777777" w:rsidR="008A07CA" w:rsidRDefault="00000000">
            <w:r>
              <w:rPr>
                <w:color w:val="000000"/>
              </w:rPr>
              <w:t>High (early T2D) / Low (T1D)</w:t>
            </w:r>
          </w:p>
        </w:tc>
        <w:tc>
          <w:tcPr>
            <w:tcW w:w="5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78B42D6" w14:textId="77777777" w:rsidR="008A07CA" w:rsidRDefault="00000000">
            <w:r>
              <w:rPr>
                <w:color w:val="000000"/>
              </w:rPr>
              <w:t>High insulin with normal glucose = insulin resistance. Low insulin = beta-cell failure (T1D or late T2D). Critical for distinguishing stages.</w:t>
            </w:r>
          </w:p>
        </w:tc>
      </w:tr>
      <w:tr w:rsidR="008A07CA" w14:paraId="0690FDDE" w14:textId="77777777">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04D4C74" w14:textId="77777777" w:rsidR="008A07CA" w:rsidRDefault="00000000">
            <w:r>
              <w:rPr>
                <w:b/>
                <w:bCs/>
                <w:color w:val="000000"/>
              </w:rPr>
              <w:t>BMI</w:t>
            </w:r>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07AE71E" w14:textId="77777777" w:rsidR="008A07CA" w:rsidRDefault="00000000">
            <w:r>
              <w:rPr>
                <w:color w:val="000000"/>
              </w:rPr>
              <w:t>≥ 25 (risk rises)</w:t>
            </w:r>
          </w:p>
        </w:tc>
        <w:tc>
          <w:tcPr>
            <w:tcW w:w="5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6012FBB" w14:textId="77777777" w:rsidR="008A07CA" w:rsidRDefault="00000000">
            <w:r>
              <w:rPr>
                <w:color w:val="000000"/>
              </w:rPr>
              <w:t>Body Mass Index measures weight-to-height ratio. Obesity (≥ 30) is the single strongest modifiable risk factor for Type 2 diabetes. Abdominal adiposity drives insulin resistance.</w:t>
            </w:r>
          </w:p>
        </w:tc>
      </w:tr>
      <w:tr w:rsidR="008A07CA" w14:paraId="6F14AEF4" w14:textId="77777777">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367D477" w14:textId="77777777" w:rsidR="008A07CA" w:rsidRDefault="00000000">
            <w:r>
              <w:rPr>
                <w:b/>
                <w:bCs/>
                <w:color w:val="000000"/>
              </w:rPr>
              <w:t>Waist-to-Hip Ratio</w:t>
            </w:r>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14E9027" w14:textId="77777777" w:rsidR="008A07CA" w:rsidRDefault="00000000">
            <w:r>
              <w:rPr>
                <w:color w:val="000000"/>
              </w:rPr>
              <w:t>&gt; 0.90 (M) / 0.85 (F)</w:t>
            </w:r>
          </w:p>
        </w:tc>
        <w:tc>
          <w:tcPr>
            <w:tcW w:w="5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DFD0779" w14:textId="77777777" w:rsidR="008A07CA" w:rsidRDefault="00000000">
            <w:r>
              <w:rPr>
                <w:color w:val="000000"/>
              </w:rPr>
              <w:t>Better predictor of metabolic risk than BMI alone. Central obesity (high WHR) is more metabolically harmful than peripheral obesity due to visceral fat proximity to portal circulation.</w:t>
            </w:r>
          </w:p>
        </w:tc>
      </w:tr>
      <w:tr w:rsidR="008A07CA" w14:paraId="4428171F" w14:textId="77777777">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788CC8B" w14:textId="77777777" w:rsidR="008A07CA" w:rsidRDefault="00000000">
            <w:r>
              <w:rPr>
                <w:b/>
                <w:bCs/>
                <w:color w:val="000000"/>
              </w:rPr>
              <w:lastRenderedPageBreak/>
              <w:t>Systolic Blood Pressure</w:t>
            </w:r>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61B9463" w14:textId="77777777" w:rsidR="008A07CA" w:rsidRDefault="00000000">
            <w:r>
              <w:rPr>
                <w:color w:val="000000"/>
              </w:rPr>
              <w:t>≥ 130 mmHg</w:t>
            </w:r>
          </w:p>
        </w:tc>
        <w:tc>
          <w:tcPr>
            <w:tcW w:w="5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B187408" w14:textId="77777777" w:rsidR="008A07CA" w:rsidRDefault="00000000">
            <w:r>
              <w:rPr>
                <w:color w:val="000000"/>
              </w:rPr>
              <w:t>Hypertension and diabetes frequently co-occur (metabolic syndrome). Elevated BP damages blood vessel walls, accelerating diabetic complications.</w:t>
            </w:r>
          </w:p>
        </w:tc>
      </w:tr>
      <w:tr w:rsidR="008A07CA" w14:paraId="75413B6F" w14:textId="77777777">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10BCD4A" w14:textId="77777777" w:rsidR="008A07CA" w:rsidRDefault="00000000">
            <w:r>
              <w:rPr>
                <w:b/>
                <w:bCs/>
                <w:color w:val="000000"/>
              </w:rPr>
              <w:t>Cholesterol &amp; Triglycerides</w:t>
            </w:r>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CCF5F3B" w14:textId="77777777" w:rsidR="008A07CA" w:rsidRDefault="00000000">
            <w:r>
              <w:rPr>
                <w:color w:val="000000"/>
              </w:rPr>
              <w:t>TG &gt; 150, HDL &lt; 40</w:t>
            </w:r>
          </w:p>
        </w:tc>
        <w:tc>
          <w:tcPr>
            <w:tcW w:w="5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A8541FC" w14:textId="77777777" w:rsidR="008A07CA" w:rsidRDefault="00000000">
            <w:r>
              <w:rPr>
                <w:color w:val="000000"/>
              </w:rPr>
              <w:t>Dyslipidaemia (high LDL/TG, low HDL) is a hallmark of insulin resistance and metabolic syndrome. TG/HDL ratio is a strong insulin resistance proxy.</w:t>
            </w:r>
          </w:p>
        </w:tc>
      </w:tr>
      <w:tr w:rsidR="008A07CA" w14:paraId="3BBE95B0" w14:textId="77777777">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291F7D3" w14:textId="77777777" w:rsidR="008A07CA" w:rsidRDefault="00000000">
            <w:r>
              <w:rPr>
                <w:b/>
                <w:bCs/>
                <w:color w:val="000000"/>
              </w:rPr>
              <w:t>Diabetes Risk Score</w:t>
            </w:r>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4DD4614" w14:textId="77777777" w:rsidR="008A07CA" w:rsidRDefault="00000000">
            <w:r>
              <w:rPr>
                <w:color w:val="000000"/>
              </w:rPr>
              <w:t>Dataset composite</w:t>
            </w:r>
          </w:p>
        </w:tc>
        <w:tc>
          <w:tcPr>
            <w:tcW w:w="5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7D61A60" w14:textId="77777777" w:rsidR="008A07CA" w:rsidRDefault="00000000">
            <w:r>
              <w:rPr>
                <w:color w:val="000000"/>
              </w:rPr>
              <w:t>A composite score aggregating multiple risk signals. Likely computed from a validated instrument such as the FINDRISC (Finnish Diabetes Risk Score) or ADA Risk Calculator.</w:t>
            </w:r>
          </w:p>
        </w:tc>
      </w:tr>
    </w:tbl>
    <w:p w14:paraId="19815F5A" w14:textId="77777777" w:rsidR="008A07CA" w:rsidRDefault="008A07CA">
      <w:pPr>
        <w:spacing w:before="120"/>
      </w:pPr>
    </w:p>
    <w:p w14:paraId="1333AE14" w14:textId="77777777" w:rsidR="008A07CA" w:rsidRDefault="00000000">
      <w:pPr>
        <w:pStyle w:val="Heading2"/>
      </w:pPr>
      <w:r>
        <w:t>4.2 Lifestyle Risk Factors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00"/>
        <w:gridCol w:w="7160"/>
      </w:tblGrid>
      <w:tr w:rsidR="008A07CA" w14:paraId="7728CDAB" w14:textId="77777777">
        <w:tc>
          <w:tcPr>
            <w:tcW w:w="2200" w:type="dxa"/>
            <w:tcBorders>
              <w:top w:val="single" w:sz="1" w:space="0" w:color="CCCCCC"/>
              <w:left w:val="single" w:sz="1" w:space="0" w:color="CCCCCC"/>
              <w:bottom w:val="single" w:sz="1" w:space="0" w:color="CCCCCC"/>
              <w:right w:val="single" w:sz="1" w:space="0" w:color="CCCCCC"/>
            </w:tcBorders>
            <w:shd w:val="clear" w:color="auto" w:fill="1B3A6B"/>
            <w:tcMar>
              <w:top w:w="80" w:type="dxa"/>
              <w:left w:w="120" w:type="dxa"/>
              <w:bottom w:w="80" w:type="dxa"/>
              <w:right w:w="120" w:type="dxa"/>
            </w:tcMar>
          </w:tcPr>
          <w:p w14:paraId="40A9F973" w14:textId="77777777" w:rsidR="008A07CA" w:rsidRDefault="00000000">
            <w:r>
              <w:rPr>
                <w:b/>
                <w:bCs/>
                <w:color w:val="FFFFFF"/>
              </w:rPr>
              <w:t>Lifestyle Factor</w:t>
            </w:r>
          </w:p>
        </w:tc>
        <w:tc>
          <w:tcPr>
            <w:tcW w:w="7160" w:type="dxa"/>
            <w:tcBorders>
              <w:top w:val="single" w:sz="1" w:space="0" w:color="CCCCCC"/>
              <w:left w:val="single" w:sz="1" w:space="0" w:color="CCCCCC"/>
              <w:bottom w:val="single" w:sz="1" w:space="0" w:color="CCCCCC"/>
              <w:right w:val="single" w:sz="1" w:space="0" w:color="CCCCCC"/>
            </w:tcBorders>
            <w:shd w:val="clear" w:color="auto" w:fill="1B3A6B"/>
            <w:tcMar>
              <w:top w:w="80" w:type="dxa"/>
              <w:left w:w="120" w:type="dxa"/>
              <w:bottom w:w="80" w:type="dxa"/>
              <w:right w:w="120" w:type="dxa"/>
            </w:tcMar>
          </w:tcPr>
          <w:p w14:paraId="53D395DB" w14:textId="77777777" w:rsidR="008A07CA" w:rsidRDefault="00000000">
            <w:r>
              <w:rPr>
                <w:b/>
                <w:bCs/>
                <w:color w:val="FFFFFF"/>
              </w:rPr>
              <w:t>Clinical Rationale &amp; Dataset Feature</w:t>
            </w:r>
          </w:p>
        </w:tc>
      </w:tr>
      <w:tr w:rsidR="008A07CA" w14:paraId="01CF1CFD" w14:textId="77777777">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3671486" w14:textId="77777777" w:rsidR="008A07CA" w:rsidRDefault="00000000">
            <w:r>
              <w:rPr>
                <w:b/>
                <w:bCs/>
                <w:color w:val="000000"/>
              </w:rPr>
              <w:t>Physical Inactivity</w:t>
            </w:r>
          </w:p>
        </w:tc>
        <w:tc>
          <w:tcPr>
            <w:tcW w:w="71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48B5F2D" w14:textId="77777777" w:rsidR="008A07CA" w:rsidRDefault="00000000">
            <w:proofErr w:type="spellStart"/>
            <w:r>
              <w:rPr>
                <w:color w:val="000000"/>
              </w:rPr>
              <w:t>physical_activity_minutes_per_week</w:t>
            </w:r>
            <w:proofErr w:type="spellEnd"/>
            <w:r>
              <w:rPr>
                <w:color w:val="000000"/>
              </w:rPr>
              <w:t>: WHO recommends ≥ 150 min/week of moderate aerobic activity. Exercise increases glucose uptake by muscle cells independent of insulin. Sedentary individuals have significantly higher insulin resistance.</w:t>
            </w:r>
          </w:p>
        </w:tc>
      </w:tr>
      <w:tr w:rsidR="008A07CA" w14:paraId="242DDF67" w14:textId="77777777">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197CF02" w14:textId="77777777" w:rsidR="008A07CA" w:rsidRDefault="00000000">
            <w:r>
              <w:rPr>
                <w:b/>
                <w:bCs/>
                <w:color w:val="000000"/>
              </w:rPr>
              <w:t>Poor Diet</w:t>
            </w:r>
          </w:p>
        </w:tc>
        <w:tc>
          <w:tcPr>
            <w:tcW w:w="71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7ED42F1" w14:textId="77777777" w:rsidR="008A07CA" w:rsidRDefault="00000000">
            <w:proofErr w:type="spellStart"/>
            <w:r>
              <w:rPr>
                <w:color w:val="000000"/>
              </w:rPr>
              <w:t>diet_score</w:t>
            </w:r>
            <w:proofErr w:type="spellEnd"/>
            <w:r>
              <w:rPr>
                <w:color w:val="000000"/>
              </w:rPr>
              <w:t xml:space="preserve"> (0-10): Low scores reflect high intake of refined carbohydrates, saturated fats, and processed foods. High-glycaemic diets cause rapid blood glucose spikes, stressing the pancreas.</w:t>
            </w:r>
          </w:p>
        </w:tc>
      </w:tr>
      <w:tr w:rsidR="008A07CA" w14:paraId="18929FC1" w14:textId="77777777">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EE04092" w14:textId="77777777" w:rsidR="008A07CA" w:rsidRDefault="00000000">
            <w:r>
              <w:rPr>
                <w:b/>
                <w:bCs/>
                <w:color w:val="000000"/>
              </w:rPr>
              <w:t>Sleep Deprivation</w:t>
            </w:r>
          </w:p>
        </w:tc>
        <w:tc>
          <w:tcPr>
            <w:tcW w:w="71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C19E5D3" w14:textId="77777777" w:rsidR="008A07CA" w:rsidRDefault="00000000">
            <w:proofErr w:type="spellStart"/>
            <w:r>
              <w:rPr>
                <w:color w:val="000000"/>
              </w:rPr>
              <w:t>sleep_hours_per_day</w:t>
            </w:r>
            <w:proofErr w:type="spellEnd"/>
            <w:r>
              <w:rPr>
                <w:color w:val="000000"/>
              </w:rPr>
              <w:t>: Sleep &lt; 6 hours/night is independently associated with insulin resistance and elevated cortisol. Cortisol raises blood glucose and suppresses insulin sensitivity.</w:t>
            </w:r>
          </w:p>
        </w:tc>
      </w:tr>
      <w:tr w:rsidR="008A07CA" w14:paraId="538E40B3" w14:textId="77777777">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C076942" w14:textId="77777777" w:rsidR="008A07CA" w:rsidRDefault="00000000">
            <w:r>
              <w:rPr>
                <w:b/>
                <w:bCs/>
                <w:color w:val="000000"/>
              </w:rPr>
              <w:t>Excessive Screen Time</w:t>
            </w:r>
          </w:p>
        </w:tc>
        <w:tc>
          <w:tcPr>
            <w:tcW w:w="71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35DE104" w14:textId="77777777" w:rsidR="008A07CA" w:rsidRDefault="00000000">
            <w:proofErr w:type="spellStart"/>
            <w:r>
              <w:rPr>
                <w:color w:val="000000"/>
              </w:rPr>
              <w:t>screen_time_hours_per_day</w:t>
            </w:r>
            <w:proofErr w:type="spellEnd"/>
            <w:r>
              <w:rPr>
                <w:color w:val="000000"/>
              </w:rPr>
              <w:t>: Proxy for sedentary behaviour. High screen time correlates with reduced physical activity, increased snacking, and disrupted sleep, all compounding metabolic risk.</w:t>
            </w:r>
          </w:p>
        </w:tc>
      </w:tr>
      <w:tr w:rsidR="008A07CA" w14:paraId="31C86179" w14:textId="77777777">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3550299" w14:textId="77777777" w:rsidR="008A07CA" w:rsidRDefault="00000000">
            <w:r>
              <w:rPr>
                <w:b/>
                <w:bCs/>
                <w:color w:val="000000"/>
              </w:rPr>
              <w:t>Smoking</w:t>
            </w:r>
          </w:p>
        </w:tc>
        <w:tc>
          <w:tcPr>
            <w:tcW w:w="71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F516CD1" w14:textId="77777777" w:rsidR="008A07CA" w:rsidRDefault="00000000">
            <w:proofErr w:type="spellStart"/>
            <w:r>
              <w:rPr>
                <w:color w:val="000000"/>
              </w:rPr>
              <w:t>smoking_status</w:t>
            </w:r>
            <w:proofErr w:type="spellEnd"/>
            <w:r>
              <w:rPr>
                <w:color w:val="000000"/>
              </w:rPr>
              <w:t xml:space="preserve"> (Never / Former / Current): Nicotine impairs insulin secretion and increases insulin resistance. Smokers have a 30-40% higher T2D risk than non-smokers. Former smokers retain elevated risk for several years.</w:t>
            </w:r>
          </w:p>
        </w:tc>
      </w:tr>
      <w:tr w:rsidR="008A07CA" w14:paraId="01AA117A" w14:textId="77777777">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F5026BC" w14:textId="77777777" w:rsidR="008A07CA" w:rsidRDefault="00000000">
            <w:r>
              <w:rPr>
                <w:b/>
                <w:bCs/>
                <w:color w:val="000000"/>
              </w:rPr>
              <w:t>Alcohol Consumption</w:t>
            </w:r>
          </w:p>
        </w:tc>
        <w:tc>
          <w:tcPr>
            <w:tcW w:w="71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0EAFAF2" w14:textId="77777777" w:rsidR="008A07CA" w:rsidRDefault="00000000">
            <w:proofErr w:type="spellStart"/>
            <w:r>
              <w:rPr>
                <w:color w:val="000000"/>
              </w:rPr>
              <w:t>alcohol_consumption_per_week</w:t>
            </w:r>
            <w:proofErr w:type="spellEnd"/>
            <w:r>
              <w:rPr>
                <w:color w:val="000000"/>
              </w:rPr>
              <w:t>: Moderate alcohol (1-2 units/day) may slightly lower T2D risk. Heavy consumption damages the pancreas, disrupts glucose metabolism, and adds caloric load driving obesity.</w:t>
            </w:r>
          </w:p>
        </w:tc>
      </w:tr>
    </w:tbl>
    <w:p w14:paraId="746D16A9" w14:textId="77777777" w:rsidR="008A07CA" w:rsidRDefault="008A07CA">
      <w:pPr>
        <w:spacing w:before="120"/>
      </w:pPr>
    </w:p>
    <w:p w14:paraId="180B4B15" w14:textId="77777777" w:rsidR="008A07CA" w:rsidRDefault="00000000">
      <w:pPr>
        <w:pStyle w:val="Heading2"/>
      </w:pPr>
      <w:r>
        <w:t>4.3 Demographic Risk Factors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00"/>
        <w:gridCol w:w="7160"/>
      </w:tblGrid>
      <w:tr w:rsidR="008A07CA" w14:paraId="4AACCD1C" w14:textId="77777777">
        <w:tc>
          <w:tcPr>
            <w:tcW w:w="2200" w:type="dxa"/>
            <w:tcBorders>
              <w:top w:val="single" w:sz="1" w:space="0" w:color="CCCCCC"/>
              <w:left w:val="single" w:sz="1" w:space="0" w:color="CCCCCC"/>
              <w:bottom w:val="single" w:sz="1" w:space="0" w:color="CCCCCC"/>
              <w:right w:val="single" w:sz="1" w:space="0" w:color="CCCCCC"/>
            </w:tcBorders>
            <w:shd w:val="clear" w:color="auto" w:fill="1B3A6B"/>
            <w:tcMar>
              <w:top w:w="80" w:type="dxa"/>
              <w:left w:w="120" w:type="dxa"/>
              <w:bottom w:w="80" w:type="dxa"/>
              <w:right w:w="120" w:type="dxa"/>
            </w:tcMar>
          </w:tcPr>
          <w:p w14:paraId="044C230C" w14:textId="77777777" w:rsidR="008A07CA" w:rsidRDefault="00000000">
            <w:r>
              <w:rPr>
                <w:b/>
                <w:bCs/>
                <w:color w:val="FFFFFF"/>
              </w:rPr>
              <w:t>Demographic Feature</w:t>
            </w:r>
          </w:p>
        </w:tc>
        <w:tc>
          <w:tcPr>
            <w:tcW w:w="7160" w:type="dxa"/>
            <w:tcBorders>
              <w:top w:val="single" w:sz="1" w:space="0" w:color="CCCCCC"/>
              <w:left w:val="single" w:sz="1" w:space="0" w:color="CCCCCC"/>
              <w:bottom w:val="single" w:sz="1" w:space="0" w:color="CCCCCC"/>
              <w:right w:val="single" w:sz="1" w:space="0" w:color="CCCCCC"/>
            </w:tcBorders>
            <w:shd w:val="clear" w:color="auto" w:fill="1B3A6B"/>
            <w:tcMar>
              <w:top w:w="80" w:type="dxa"/>
              <w:left w:w="120" w:type="dxa"/>
              <w:bottom w:w="80" w:type="dxa"/>
              <w:right w:w="120" w:type="dxa"/>
            </w:tcMar>
          </w:tcPr>
          <w:p w14:paraId="77E94299" w14:textId="77777777" w:rsidR="008A07CA" w:rsidRDefault="00000000">
            <w:r>
              <w:rPr>
                <w:b/>
                <w:bCs/>
                <w:color w:val="FFFFFF"/>
              </w:rPr>
              <w:t>Clinical Rationale</w:t>
            </w:r>
          </w:p>
        </w:tc>
      </w:tr>
      <w:tr w:rsidR="008A07CA" w14:paraId="2F74AC3C" w14:textId="77777777">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24589CE" w14:textId="77777777" w:rsidR="008A07CA" w:rsidRDefault="00000000">
            <w:r>
              <w:rPr>
                <w:b/>
                <w:bCs/>
                <w:color w:val="000000"/>
              </w:rPr>
              <w:t>Age</w:t>
            </w:r>
          </w:p>
        </w:tc>
        <w:tc>
          <w:tcPr>
            <w:tcW w:w="71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0C48D7D" w14:textId="77777777" w:rsidR="008A07CA" w:rsidRDefault="00000000">
            <w:r>
              <w:rPr>
                <w:color w:val="000000"/>
              </w:rPr>
              <w:t>Age: Risk of Type 2 diabetes increases significantly after age 45. The pancreas loses reserve capacity over time, and cumulative lifestyle exposures compound. The dataset spans ages 19-90.</w:t>
            </w:r>
          </w:p>
        </w:tc>
      </w:tr>
      <w:tr w:rsidR="008A07CA" w14:paraId="2A0106CC" w14:textId="77777777">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A0039A3" w14:textId="77777777" w:rsidR="008A07CA" w:rsidRDefault="00000000">
            <w:r>
              <w:rPr>
                <w:b/>
                <w:bCs/>
                <w:color w:val="000000"/>
              </w:rPr>
              <w:lastRenderedPageBreak/>
              <w:t>Gender</w:t>
            </w:r>
          </w:p>
        </w:tc>
        <w:tc>
          <w:tcPr>
            <w:tcW w:w="71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5AFF2C3" w14:textId="77777777" w:rsidR="008A07CA" w:rsidRDefault="00000000">
            <w:r>
              <w:rPr>
                <w:color w:val="000000"/>
              </w:rPr>
              <w:t>gender: Men generally develop T2D at lower BMI than women. Women face unique risks from gestational diabetes and PCOS. Women with GDM have 7x higher lifetime T2D risk.</w:t>
            </w:r>
          </w:p>
        </w:tc>
      </w:tr>
      <w:tr w:rsidR="008A07CA" w14:paraId="16426660" w14:textId="77777777">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46E7F6E" w14:textId="77777777" w:rsidR="008A07CA" w:rsidRDefault="00000000">
            <w:r>
              <w:rPr>
                <w:b/>
                <w:bCs/>
                <w:color w:val="000000"/>
              </w:rPr>
              <w:t>Ethnicity</w:t>
            </w:r>
          </w:p>
        </w:tc>
        <w:tc>
          <w:tcPr>
            <w:tcW w:w="71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E1B3EBC" w14:textId="77777777" w:rsidR="008A07CA" w:rsidRDefault="00000000">
            <w:r>
              <w:rPr>
                <w:color w:val="000000"/>
              </w:rPr>
              <w:t>ethnicity: South Asian, Black, and Hispanic populations develop T2D at lower BMI thresholds and younger ages than White populations, due to differences in body fat distribution and genetic predisposition. Risk is 2-4x higher in these groups.</w:t>
            </w:r>
          </w:p>
        </w:tc>
      </w:tr>
      <w:tr w:rsidR="008A07CA" w14:paraId="69906A16" w14:textId="77777777">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C5E2D92" w14:textId="77777777" w:rsidR="008A07CA" w:rsidRDefault="00000000">
            <w:r>
              <w:rPr>
                <w:b/>
                <w:bCs/>
                <w:color w:val="000000"/>
              </w:rPr>
              <w:t>Education &amp; Income</w:t>
            </w:r>
          </w:p>
        </w:tc>
        <w:tc>
          <w:tcPr>
            <w:tcW w:w="71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406F277" w14:textId="77777777" w:rsidR="008A07CA" w:rsidRDefault="00000000">
            <w:proofErr w:type="spellStart"/>
            <w:r>
              <w:rPr>
                <w:color w:val="000000"/>
              </w:rPr>
              <w:t>education_level</w:t>
            </w:r>
            <w:proofErr w:type="spellEnd"/>
            <w:r>
              <w:rPr>
                <w:color w:val="000000"/>
              </w:rPr>
              <w:t xml:space="preserve">, </w:t>
            </w:r>
            <w:proofErr w:type="spellStart"/>
            <w:r>
              <w:rPr>
                <w:color w:val="000000"/>
              </w:rPr>
              <w:t>income_level</w:t>
            </w:r>
            <w:proofErr w:type="spellEnd"/>
            <w:r>
              <w:rPr>
                <w:color w:val="000000"/>
              </w:rPr>
              <w:t>: Socioeconomic factors are social determinants of health. Lower education and income are associated with reduced access to healthy food, healthcare, and health literacy, all elevating diabetes risk.</w:t>
            </w:r>
          </w:p>
        </w:tc>
      </w:tr>
      <w:tr w:rsidR="008A07CA" w14:paraId="4B83D9D1" w14:textId="77777777">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442CA4C" w14:textId="77777777" w:rsidR="008A07CA" w:rsidRDefault="00000000">
            <w:r>
              <w:rPr>
                <w:b/>
                <w:bCs/>
                <w:color w:val="000000"/>
              </w:rPr>
              <w:t>Employment Status</w:t>
            </w:r>
          </w:p>
        </w:tc>
        <w:tc>
          <w:tcPr>
            <w:tcW w:w="71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157AC8F" w14:textId="77777777" w:rsidR="008A07CA" w:rsidRDefault="00000000">
            <w:proofErr w:type="spellStart"/>
            <w:r>
              <w:rPr>
                <w:color w:val="000000"/>
              </w:rPr>
              <w:t>employment_status</w:t>
            </w:r>
            <w:proofErr w:type="spellEnd"/>
            <w:r>
              <w:rPr>
                <w:color w:val="000000"/>
              </w:rPr>
              <w:t>: Unemployment and retirement can reduce structured physical activity and increase stress and food insecurity. Shift work disrupts circadian rhythm and is independently associated with T2D risk.</w:t>
            </w:r>
          </w:p>
        </w:tc>
      </w:tr>
    </w:tbl>
    <w:p w14:paraId="1C48081C" w14:textId="77777777" w:rsidR="008A07CA" w:rsidRDefault="008A07CA">
      <w:pPr>
        <w:spacing w:before="120"/>
      </w:pPr>
    </w:p>
    <w:p w14:paraId="126BE434" w14:textId="77777777" w:rsidR="008A07CA" w:rsidRDefault="00000000">
      <w:pPr>
        <w:pStyle w:val="Heading2"/>
      </w:pPr>
      <w:r>
        <w:t>4.4 Medical History Risk Factors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00"/>
        <w:gridCol w:w="7160"/>
      </w:tblGrid>
      <w:tr w:rsidR="008A07CA" w14:paraId="137E3CE1" w14:textId="77777777">
        <w:tc>
          <w:tcPr>
            <w:tcW w:w="2200" w:type="dxa"/>
            <w:tcBorders>
              <w:top w:val="single" w:sz="1" w:space="0" w:color="CCCCCC"/>
              <w:left w:val="single" w:sz="1" w:space="0" w:color="CCCCCC"/>
              <w:bottom w:val="single" w:sz="1" w:space="0" w:color="CCCCCC"/>
              <w:right w:val="single" w:sz="1" w:space="0" w:color="CCCCCC"/>
            </w:tcBorders>
            <w:shd w:val="clear" w:color="auto" w:fill="1B3A6B"/>
            <w:tcMar>
              <w:top w:w="80" w:type="dxa"/>
              <w:left w:w="120" w:type="dxa"/>
              <w:bottom w:w="80" w:type="dxa"/>
              <w:right w:w="120" w:type="dxa"/>
            </w:tcMar>
          </w:tcPr>
          <w:p w14:paraId="501E640C" w14:textId="77777777" w:rsidR="008A07CA" w:rsidRDefault="00000000">
            <w:r>
              <w:rPr>
                <w:b/>
                <w:bCs/>
                <w:color w:val="FFFFFF"/>
              </w:rPr>
              <w:t>History Feature</w:t>
            </w:r>
          </w:p>
        </w:tc>
        <w:tc>
          <w:tcPr>
            <w:tcW w:w="7160" w:type="dxa"/>
            <w:tcBorders>
              <w:top w:val="single" w:sz="1" w:space="0" w:color="CCCCCC"/>
              <w:left w:val="single" w:sz="1" w:space="0" w:color="CCCCCC"/>
              <w:bottom w:val="single" w:sz="1" w:space="0" w:color="CCCCCC"/>
              <w:right w:val="single" w:sz="1" w:space="0" w:color="CCCCCC"/>
            </w:tcBorders>
            <w:shd w:val="clear" w:color="auto" w:fill="1B3A6B"/>
            <w:tcMar>
              <w:top w:w="80" w:type="dxa"/>
              <w:left w:w="120" w:type="dxa"/>
              <w:bottom w:w="80" w:type="dxa"/>
              <w:right w:w="120" w:type="dxa"/>
            </w:tcMar>
          </w:tcPr>
          <w:p w14:paraId="38F1134D" w14:textId="77777777" w:rsidR="008A07CA" w:rsidRDefault="00000000">
            <w:r>
              <w:rPr>
                <w:b/>
                <w:bCs/>
                <w:color w:val="FFFFFF"/>
              </w:rPr>
              <w:t>Clinical Rationale</w:t>
            </w:r>
          </w:p>
        </w:tc>
      </w:tr>
      <w:tr w:rsidR="008A07CA" w14:paraId="6614EC05" w14:textId="77777777">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CF23749" w14:textId="77777777" w:rsidR="008A07CA" w:rsidRDefault="00000000">
            <w:r>
              <w:rPr>
                <w:b/>
                <w:bCs/>
                <w:color w:val="000000"/>
              </w:rPr>
              <w:t>Family History of Diabetes</w:t>
            </w:r>
          </w:p>
        </w:tc>
        <w:tc>
          <w:tcPr>
            <w:tcW w:w="71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33FEA86" w14:textId="77777777" w:rsidR="008A07CA" w:rsidRDefault="00000000">
            <w:proofErr w:type="spellStart"/>
            <w:r>
              <w:rPr>
                <w:color w:val="000000"/>
              </w:rPr>
              <w:t>family_history_diabetes</w:t>
            </w:r>
            <w:proofErr w:type="spellEnd"/>
            <w:r>
              <w:rPr>
                <w:color w:val="000000"/>
              </w:rPr>
              <w:t xml:space="preserve"> (0/1): Having a first-degree relative (parent, sibling) with diabetes increases T2D risk by 2-6x. Both genetic predisposition (impaired beta-cell function) and shared lifestyle environments contribute.</w:t>
            </w:r>
          </w:p>
        </w:tc>
      </w:tr>
      <w:tr w:rsidR="008A07CA" w14:paraId="643A0A08" w14:textId="77777777">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BAF77BF" w14:textId="77777777" w:rsidR="008A07CA" w:rsidRDefault="00000000">
            <w:r>
              <w:rPr>
                <w:b/>
                <w:bCs/>
                <w:color w:val="000000"/>
              </w:rPr>
              <w:t>Hypertension History</w:t>
            </w:r>
          </w:p>
        </w:tc>
        <w:tc>
          <w:tcPr>
            <w:tcW w:w="71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591C4DD" w14:textId="77777777" w:rsidR="008A07CA" w:rsidRDefault="00000000">
            <w:proofErr w:type="spellStart"/>
            <w:r>
              <w:rPr>
                <w:color w:val="000000"/>
              </w:rPr>
              <w:t>hypertension_history</w:t>
            </w:r>
            <w:proofErr w:type="spellEnd"/>
            <w:r>
              <w:rPr>
                <w:color w:val="000000"/>
              </w:rPr>
              <w:t xml:space="preserve"> (0/1): Hypertension co-occurs with T2D in ~70% of patients (metabolic syndrome). Shared pathophysiology includes insulin resistance, inflammation, and endothelial dysfunction.</w:t>
            </w:r>
          </w:p>
        </w:tc>
      </w:tr>
      <w:tr w:rsidR="008A07CA" w14:paraId="3F868BF7" w14:textId="77777777">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19FB424" w14:textId="77777777" w:rsidR="008A07CA" w:rsidRDefault="00000000">
            <w:r>
              <w:rPr>
                <w:b/>
                <w:bCs/>
                <w:color w:val="000000"/>
              </w:rPr>
              <w:t>Cardiovascular History</w:t>
            </w:r>
          </w:p>
        </w:tc>
        <w:tc>
          <w:tcPr>
            <w:tcW w:w="71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6CE9DC0" w14:textId="77777777" w:rsidR="008A07CA" w:rsidRDefault="00000000">
            <w:proofErr w:type="spellStart"/>
            <w:r>
              <w:rPr>
                <w:color w:val="000000"/>
              </w:rPr>
              <w:t>cardiovascular_history</w:t>
            </w:r>
            <w:proofErr w:type="spellEnd"/>
            <w:r>
              <w:rPr>
                <w:color w:val="000000"/>
              </w:rPr>
              <w:t xml:space="preserve"> (0/1): Cardiovascular disease and diabetes share common risk factors. Patients with CVD history are at substantially higher risk of T2D, and vice versa.</w:t>
            </w:r>
          </w:p>
        </w:tc>
      </w:tr>
    </w:tbl>
    <w:p w14:paraId="27B46BEE" w14:textId="77777777" w:rsidR="008A07CA" w:rsidRDefault="00000000">
      <w:r>
        <w:br/>
      </w:r>
    </w:p>
    <w:p w14:paraId="4F9D6433" w14:textId="77777777" w:rsidR="008A07CA" w:rsidRDefault="00000000">
      <w:pPr>
        <w:pStyle w:val="Heading1"/>
        <w:pBdr>
          <w:bottom w:val="single" w:sz="6" w:space="1" w:color="2E75B6"/>
        </w:pBdr>
      </w:pPr>
      <w:r>
        <w:t>5. Complete Dataset Feature Mapping</w:t>
      </w:r>
    </w:p>
    <w:p w14:paraId="6419D117" w14:textId="77777777" w:rsidR="008A07CA" w:rsidRDefault="00000000">
      <w:pPr>
        <w:spacing w:before="80" w:after="100"/>
      </w:pPr>
      <w:r>
        <w:rPr>
          <w:color w:val="000000"/>
        </w:rPr>
        <w:t>The following table maps every feature in the dataset to its real-world clinical meaning, expected range, and relevance to diabetes risk modelling.</w:t>
      </w:r>
    </w:p>
    <w:p w14:paraId="4D775405" w14:textId="77777777" w:rsidR="008A07CA" w:rsidRDefault="008A07CA">
      <w:pPr>
        <w:spacing w:before="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475"/>
        <w:gridCol w:w="1050"/>
        <w:gridCol w:w="1504"/>
        <w:gridCol w:w="3331"/>
      </w:tblGrid>
      <w:tr w:rsidR="008A07CA" w14:paraId="62009AB0" w14:textId="77777777">
        <w:tc>
          <w:tcPr>
            <w:tcW w:w="2100" w:type="dxa"/>
            <w:tcBorders>
              <w:top w:val="single" w:sz="1" w:space="0" w:color="CCCCCC"/>
              <w:left w:val="single" w:sz="1" w:space="0" w:color="CCCCCC"/>
              <w:bottom w:val="single" w:sz="1" w:space="0" w:color="CCCCCC"/>
              <w:right w:val="single" w:sz="1" w:space="0" w:color="CCCCCC"/>
            </w:tcBorders>
            <w:shd w:val="clear" w:color="auto" w:fill="1B3A6B"/>
            <w:tcMar>
              <w:top w:w="80" w:type="dxa"/>
              <w:left w:w="120" w:type="dxa"/>
              <w:bottom w:w="80" w:type="dxa"/>
              <w:right w:w="120" w:type="dxa"/>
            </w:tcMar>
          </w:tcPr>
          <w:p w14:paraId="75DF1689" w14:textId="77777777" w:rsidR="008A07CA" w:rsidRDefault="00000000">
            <w:r>
              <w:rPr>
                <w:b/>
                <w:bCs/>
                <w:color w:val="FFFFFF"/>
              </w:rPr>
              <w:t>Feature</w:t>
            </w:r>
          </w:p>
        </w:tc>
        <w:tc>
          <w:tcPr>
            <w:tcW w:w="1100" w:type="dxa"/>
            <w:tcBorders>
              <w:top w:val="single" w:sz="1" w:space="0" w:color="CCCCCC"/>
              <w:left w:val="single" w:sz="1" w:space="0" w:color="CCCCCC"/>
              <w:bottom w:val="single" w:sz="1" w:space="0" w:color="CCCCCC"/>
              <w:right w:val="single" w:sz="1" w:space="0" w:color="CCCCCC"/>
            </w:tcBorders>
            <w:shd w:val="clear" w:color="auto" w:fill="1B3A6B"/>
            <w:tcMar>
              <w:top w:w="80" w:type="dxa"/>
              <w:left w:w="120" w:type="dxa"/>
              <w:bottom w:w="80" w:type="dxa"/>
              <w:right w:w="120" w:type="dxa"/>
            </w:tcMar>
          </w:tcPr>
          <w:p w14:paraId="0A7073FE" w14:textId="77777777" w:rsidR="008A07CA" w:rsidRDefault="00000000">
            <w:r>
              <w:rPr>
                <w:b/>
                <w:bCs/>
                <w:color w:val="FFFFFF"/>
              </w:rPr>
              <w:t>Type</w:t>
            </w:r>
          </w:p>
        </w:tc>
        <w:tc>
          <w:tcPr>
            <w:tcW w:w="1560" w:type="dxa"/>
            <w:tcBorders>
              <w:top w:val="single" w:sz="1" w:space="0" w:color="CCCCCC"/>
              <w:left w:val="single" w:sz="1" w:space="0" w:color="CCCCCC"/>
              <w:bottom w:val="single" w:sz="1" w:space="0" w:color="CCCCCC"/>
              <w:right w:val="single" w:sz="1" w:space="0" w:color="CCCCCC"/>
            </w:tcBorders>
            <w:shd w:val="clear" w:color="auto" w:fill="1B3A6B"/>
            <w:tcMar>
              <w:top w:w="80" w:type="dxa"/>
              <w:left w:w="120" w:type="dxa"/>
              <w:bottom w:w="80" w:type="dxa"/>
              <w:right w:w="120" w:type="dxa"/>
            </w:tcMar>
          </w:tcPr>
          <w:p w14:paraId="171E923F" w14:textId="77777777" w:rsidR="008A07CA" w:rsidRDefault="00000000">
            <w:r>
              <w:rPr>
                <w:b/>
                <w:bCs/>
                <w:color w:val="FFFFFF"/>
              </w:rPr>
              <w:t>Range / Categories</w:t>
            </w:r>
          </w:p>
        </w:tc>
        <w:tc>
          <w:tcPr>
            <w:tcW w:w="4600" w:type="dxa"/>
            <w:tcBorders>
              <w:top w:val="single" w:sz="1" w:space="0" w:color="CCCCCC"/>
              <w:left w:val="single" w:sz="1" w:space="0" w:color="CCCCCC"/>
              <w:bottom w:val="single" w:sz="1" w:space="0" w:color="CCCCCC"/>
              <w:right w:val="single" w:sz="1" w:space="0" w:color="CCCCCC"/>
            </w:tcBorders>
            <w:shd w:val="clear" w:color="auto" w:fill="1B3A6B"/>
            <w:tcMar>
              <w:top w:w="80" w:type="dxa"/>
              <w:left w:w="120" w:type="dxa"/>
              <w:bottom w:w="80" w:type="dxa"/>
              <w:right w:w="120" w:type="dxa"/>
            </w:tcMar>
          </w:tcPr>
          <w:p w14:paraId="0ADD2C7E" w14:textId="77777777" w:rsidR="008A07CA" w:rsidRDefault="00000000">
            <w:r>
              <w:rPr>
                <w:b/>
                <w:bCs/>
                <w:color w:val="FFFFFF"/>
              </w:rPr>
              <w:t>Clinical Meaning &amp; Modelling Relevance</w:t>
            </w:r>
          </w:p>
        </w:tc>
      </w:tr>
      <w:tr w:rsidR="008A07CA" w14:paraId="1E625B78" w14:textId="77777777">
        <w:tc>
          <w:tcPr>
            <w:tcW w:w="2100" w:type="dxa"/>
            <w:tcBorders>
              <w:top w:val="single" w:sz="1" w:space="0" w:color="CCCCCC"/>
              <w:left w:val="single" w:sz="1" w:space="0" w:color="CCCCCC"/>
              <w:bottom w:val="single" w:sz="1" w:space="0" w:color="CCCCCC"/>
              <w:right w:val="single" w:sz="1" w:space="0" w:color="CCCCCC"/>
            </w:tcBorders>
            <w:shd w:val="clear" w:color="auto" w:fill="F2F3F4"/>
            <w:tcMar>
              <w:top w:w="80" w:type="dxa"/>
              <w:left w:w="120" w:type="dxa"/>
              <w:bottom w:w="80" w:type="dxa"/>
              <w:right w:w="120" w:type="dxa"/>
            </w:tcMar>
          </w:tcPr>
          <w:p w14:paraId="4C3B45A0" w14:textId="77777777" w:rsidR="008A07CA" w:rsidRDefault="00000000">
            <w:r>
              <w:rPr>
                <w:b/>
                <w:bCs/>
                <w:color w:val="000000"/>
              </w:rPr>
              <w:t>Age</w:t>
            </w:r>
          </w:p>
        </w:tc>
        <w:tc>
          <w:tcPr>
            <w:tcW w:w="1100" w:type="dxa"/>
            <w:tcBorders>
              <w:top w:val="single" w:sz="1" w:space="0" w:color="CCCCCC"/>
              <w:left w:val="single" w:sz="1" w:space="0" w:color="CCCCCC"/>
              <w:bottom w:val="single" w:sz="1" w:space="0" w:color="CCCCCC"/>
              <w:right w:val="single" w:sz="1" w:space="0" w:color="CCCCCC"/>
            </w:tcBorders>
            <w:shd w:val="clear" w:color="auto" w:fill="F2F3F4"/>
            <w:tcMar>
              <w:top w:w="80" w:type="dxa"/>
              <w:left w:w="120" w:type="dxa"/>
              <w:bottom w:w="80" w:type="dxa"/>
              <w:right w:w="120" w:type="dxa"/>
            </w:tcMar>
          </w:tcPr>
          <w:p w14:paraId="18EAF65A" w14:textId="77777777" w:rsidR="008A07CA" w:rsidRDefault="00000000">
            <w:r>
              <w:rPr>
                <w:color w:val="000000"/>
              </w:rPr>
              <w:t>Numeric</w:t>
            </w:r>
          </w:p>
        </w:tc>
        <w:tc>
          <w:tcPr>
            <w:tcW w:w="1560" w:type="dxa"/>
            <w:tcBorders>
              <w:top w:val="single" w:sz="1" w:space="0" w:color="CCCCCC"/>
              <w:left w:val="single" w:sz="1" w:space="0" w:color="CCCCCC"/>
              <w:bottom w:val="single" w:sz="1" w:space="0" w:color="CCCCCC"/>
              <w:right w:val="single" w:sz="1" w:space="0" w:color="CCCCCC"/>
            </w:tcBorders>
            <w:shd w:val="clear" w:color="auto" w:fill="F2F3F4"/>
            <w:tcMar>
              <w:top w:w="80" w:type="dxa"/>
              <w:left w:w="120" w:type="dxa"/>
              <w:bottom w:w="80" w:type="dxa"/>
              <w:right w:w="120" w:type="dxa"/>
            </w:tcMar>
          </w:tcPr>
          <w:p w14:paraId="08F98B67" w14:textId="77777777" w:rsidR="008A07CA" w:rsidRDefault="00000000">
            <w:r>
              <w:rPr>
                <w:color w:val="000000"/>
              </w:rPr>
              <w:t>19 – 90 yrs</w:t>
            </w:r>
          </w:p>
        </w:tc>
        <w:tc>
          <w:tcPr>
            <w:tcW w:w="4600" w:type="dxa"/>
            <w:tcBorders>
              <w:top w:val="single" w:sz="1" w:space="0" w:color="CCCCCC"/>
              <w:left w:val="single" w:sz="1" w:space="0" w:color="CCCCCC"/>
              <w:bottom w:val="single" w:sz="1" w:space="0" w:color="CCCCCC"/>
              <w:right w:val="single" w:sz="1" w:space="0" w:color="CCCCCC"/>
            </w:tcBorders>
            <w:shd w:val="clear" w:color="auto" w:fill="F2F3F4"/>
            <w:tcMar>
              <w:top w:w="80" w:type="dxa"/>
              <w:left w:w="120" w:type="dxa"/>
              <w:bottom w:w="80" w:type="dxa"/>
              <w:right w:w="120" w:type="dxa"/>
            </w:tcMar>
          </w:tcPr>
          <w:p w14:paraId="6865A470" w14:textId="77777777" w:rsidR="008A07CA" w:rsidRDefault="00000000">
            <w:r>
              <w:rPr>
                <w:color w:val="000000"/>
              </w:rPr>
              <w:t>Strong non-linear risk factor. Risk escalates after 45. Should be used as-is; binning into age groups may be useful for segmentation.</w:t>
            </w:r>
          </w:p>
        </w:tc>
      </w:tr>
      <w:tr w:rsidR="008A07CA" w14:paraId="62046CDC" w14:textId="77777777">
        <w:tc>
          <w:tcPr>
            <w:tcW w:w="21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E5BCAF5" w14:textId="77777777" w:rsidR="008A07CA" w:rsidRDefault="00000000">
            <w:r>
              <w:rPr>
                <w:color w:val="000000"/>
              </w:rPr>
              <w:t>gender</w:t>
            </w:r>
          </w:p>
        </w:tc>
        <w:tc>
          <w:tcPr>
            <w:tcW w:w="11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285F3F7" w14:textId="77777777" w:rsidR="008A07CA" w:rsidRDefault="00000000">
            <w:r>
              <w:rPr>
                <w:color w:val="000000"/>
              </w:rPr>
              <w:t>Nominal</w:t>
            </w:r>
          </w:p>
        </w:tc>
        <w:tc>
          <w:tcPr>
            <w:tcW w:w="1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7ED3833" w14:textId="77777777" w:rsidR="008A07CA" w:rsidRDefault="00000000">
            <w:r>
              <w:rPr>
                <w:color w:val="000000"/>
              </w:rPr>
              <w:t>Male / Female / Other</w:t>
            </w:r>
          </w:p>
        </w:tc>
        <w:tc>
          <w:tcPr>
            <w:tcW w:w="4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291E4D3" w14:textId="77777777" w:rsidR="008A07CA" w:rsidRDefault="00000000">
            <w:r>
              <w:rPr>
                <w:color w:val="000000"/>
              </w:rPr>
              <w:t>Influences risk thresholds (BMI, WHR). Important for gestational diabetes identification.</w:t>
            </w:r>
          </w:p>
        </w:tc>
      </w:tr>
      <w:tr w:rsidR="008A07CA" w14:paraId="72590C9A" w14:textId="77777777">
        <w:tc>
          <w:tcPr>
            <w:tcW w:w="2100" w:type="dxa"/>
            <w:tcBorders>
              <w:top w:val="single" w:sz="1" w:space="0" w:color="CCCCCC"/>
              <w:left w:val="single" w:sz="1" w:space="0" w:color="CCCCCC"/>
              <w:bottom w:val="single" w:sz="1" w:space="0" w:color="CCCCCC"/>
              <w:right w:val="single" w:sz="1" w:space="0" w:color="CCCCCC"/>
            </w:tcBorders>
            <w:shd w:val="clear" w:color="auto" w:fill="F2F3F4"/>
            <w:tcMar>
              <w:top w:w="80" w:type="dxa"/>
              <w:left w:w="120" w:type="dxa"/>
              <w:bottom w:w="80" w:type="dxa"/>
              <w:right w:w="120" w:type="dxa"/>
            </w:tcMar>
          </w:tcPr>
          <w:p w14:paraId="5ED117A6" w14:textId="77777777" w:rsidR="008A07CA" w:rsidRDefault="00000000">
            <w:r>
              <w:rPr>
                <w:color w:val="000000"/>
              </w:rPr>
              <w:lastRenderedPageBreak/>
              <w:t>ethnicity</w:t>
            </w:r>
          </w:p>
        </w:tc>
        <w:tc>
          <w:tcPr>
            <w:tcW w:w="1100" w:type="dxa"/>
            <w:tcBorders>
              <w:top w:val="single" w:sz="1" w:space="0" w:color="CCCCCC"/>
              <w:left w:val="single" w:sz="1" w:space="0" w:color="CCCCCC"/>
              <w:bottom w:val="single" w:sz="1" w:space="0" w:color="CCCCCC"/>
              <w:right w:val="single" w:sz="1" w:space="0" w:color="CCCCCC"/>
            </w:tcBorders>
            <w:shd w:val="clear" w:color="auto" w:fill="F2F3F4"/>
            <w:tcMar>
              <w:top w:w="80" w:type="dxa"/>
              <w:left w:w="120" w:type="dxa"/>
              <w:bottom w:w="80" w:type="dxa"/>
              <w:right w:w="120" w:type="dxa"/>
            </w:tcMar>
          </w:tcPr>
          <w:p w14:paraId="16853272" w14:textId="77777777" w:rsidR="008A07CA" w:rsidRDefault="00000000">
            <w:r>
              <w:rPr>
                <w:color w:val="000000"/>
              </w:rPr>
              <w:t>Nominal</w:t>
            </w:r>
          </w:p>
        </w:tc>
        <w:tc>
          <w:tcPr>
            <w:tcW w:w="1560" w:type="dxa"/>
            <w:tcBorders>
              <w:top w:val="single" w:sz="1" w:space="0" w:color="CCCCCC"/>
              <w:left w:val="single" w:sz="1" w:space="0" w:color="CCCCCC"/>
              <w:bottom w:val="single" w:sz="1" w:space="0" w:color="CCCCCC"/>
              <w:right w:val="single" w:sz="1" w:space="0" w:color="CCCCCC"/>
            </w:tcBorders>
            <w:shd w:val="clear" w:color="auto" w:fill="F2F3F4"/>
            <w:tcMar>
              <w:top w:w="80" w:type="dxa"/>
              <w:left w:w="120" w:type="dxa"/>
              <w:bottom w:w="80" w:type="dxa"/>
              <w:right w:w="120" w:type="dxa"/>
            </w:tcMar>
          </w:tcPr>
          <w:p w14:paraId="0EECEB8D" w14:textId="77777777" w:rsidR="008A07CA" w:rsidRDefault="00000000">
            <w:r>
              <w:rPr>
                <w:color w:val="000000"/>
              </w:rPr>
              <w:t>Asian, White, Hispanic, Black, Other</w:t>
            </w:r>
          </w:p>
        </w:tc>
        <w:tc>
          <w:tcPr>
            <w:tcW w:w="4600" w:type="dxa"/>
            <w:tcBorders>
              <w:top w:val="single" w:sz="1" w:space="0" w:color="CCCCCC"/>
              <w:left w:val="single" w:sz="1" w:space="0" w:color="CCCCCC"/>
              <w:bottom w:val="single" w:sz="1" w:space="0" w:color="CCCCCC"/>
              <w:right w:val="single" w:sz="1" w:space="0" w:color="CCCCCC"/>
            </w:tcBorders>
            <w:shd w:val="clear" w:color="auto" w:fill="F2F3F4"/>
            <w:tcMar>
              <w:top w:w="80" w:type="dxa"/>
              <w:left w:w="120" w:type="dxa"/>
              <w:bottom w:w="80" w:type="dxa"/>
              <w:right w:w="120" w:type="dxa"/>
            </w:tcMar>
          </w:tcPr>
          <w:p w14:paraId="3215332D" w14:textId="77777777" w:rsidR="008A07CA" w:rsidRDefault="00000000">
            <w:r>
              <w:rPr>
                <w:color w:val="000000"/>
              </w:rPr>
              <w:t>Strong risk modifier. Asian and Black populations have higher T2D risk at lower BMI. Critical for equitable model evaluation.</w:t>
            </w:r>
          </w:p>
        </w:tc>
      </w:tr>
      <w:tr w:rsidR="008A07CA" w14:paraId="72ECE41F" w14:textId="77777777">
        <w:tc>
          <w:tcPr>
            <w:tcW w:w="21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D45662E" w14:textId="77777777" w:rsidR="008A07CA" w:rsidRDefault="00000000">
            <w:proofErr w:type="spellStart"/>
            <w:r>
              <w:rPr>
                <w:color w:val="000000"/>
              </w:rPr>
              <w:t>education_level</w:t>
            </w:r>
            <w:proofErr w:type="spellEnd"/>
          </w:p>
        </w:tc>
        <w:tc>
          <w:tcPr>
            <w:tcW w:w="11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A6DE4D4" w14:textId="77777777" w:rsidR="008A07CA" w:rsidRDefault="00000000">
            <w:r>
              <w:rPr>
                <w:color w:val="000000"/>
              </w:rPr>
              <w:t>Ordinal</w:t>
            </w:r>
          </w:p>
        </w:tc>
        <w:tc>
          <w:tcPr>
            <w:tcW w:w="1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4F064FD" w14:textId="77777777" w:rsidR="008A07CA" w:rsidRDefault="00000000">
            <w:r>
              <w:rPr>
                <w:color w:val="000000"/>
              </w:rPr>
              <w:t>No formal → Postgraduate</w:t>
            </w:r>
          </w:p>
        </w:tc>
        <w:tc>
          <w:tcPr>
            <w:tcW w:w="4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55F4528" w14:textId="77777777" w:rsidR="008A07CA" w:rsidRDefault="00000000">
            <w:r>
              <w:rPr>
                <w:color w:val="000000"/>
              </w:rPr>
              <w:t xml:space="preserve">Proxy for health literacy and lifestyle capacity. </w:t>
            </w:r>
            <w:proofErr w:type="gramStart"/>
            <w:r>
              <w:rPr>
                <w:color w:val="000000"/>
              </w:rPr>
              <w:t>Ordinal</w:t>
            </w:r>
            <w:proofErr w:type="gramEnd"/>
            <w:r>
              <w:rPr>
                <w:color w:val="000000"/>
              </w:rPr>
              <w:t xml:space="preserve"> encode (0-3) preserving order.</w:t>
            </w:r>
          </w:p>
        </w:tc>
      </w:tr>
      <w:tr w:rsidR="008A07CA" w14:paraId="2FAD7A81" w14:textId="77777777">
        <w:tc>
          <w:tcPr>
            <w:tcW w:w="2100" w:type="dxa"/>
            <w:tcBorders>
              <w:top w:val="single" w:sz="1" w:space="0" w:color="CCCCCC"/>
              <w:left w:val="single" w:sz="1" w:space="0" w:color="CCCCCC"/>
              <w:bottom w:val="single" w:sz="1" w:space="0" w:color="CCCCCC"/>
              <w:right w:val="single" w:sz="1" w:space="0" w:color="CCCCCC"/>
            </w:tcBorders>
            <w:shd w:val="clear" w:color="auto" w:fill="F2F3F4"/>
            <w:tcMar>
              <w:top w:w="80" w:type="dxa"/>
              <w:left w:w="120" w:type="dxa"/>
              <w:bottom w:w="80" w:type="dxa"/>
              <w:right w:w="120" w:type="dxa"/>
            </w:tcMar>
          </w:tcPr>
          <w:p w14:paraId="04F87C3E" w14:textId="77777777" w:rsidR="008A07CA" w:rsidRDefault="00000000">
            <w:proofErr w:type="spellStart"/>
            <w:r>
              <w:rPr>
                <w:color w:val="000000"/>
              </w:rPr>
              <w:t>income_level</w:t>
            </w:r>
            <w:proofErr w:type="spellEnd"/>
          </w:p>
        </w:tc>
        <w:tc>
          <w:tcPr>
            <w:tcW w:w="1100" w:type="dxa"/>
            <w:tcBorders>
              <w:top w:val="single" w:sz="1" w:space="0" w:color="CCCCCC"/>
              <w:left w:val="single" w:sz="1" w:space="0" w:color="CCCCCC"/>
              <w:bottom w:val="single" w:sz="1" w:space="0" w:color="CCCCCC"/>
              <w:right w:val="single" w:sz="1" w:space="0" w:color="CCCCCC"/>
            </w:tcBorders>
            <w:shd w:val="clear" w:color="auto" w:fill="F2F3F4"/>
            <w:tcMar>
              <w:top w:w="80" w:type="dxa"/>
              <w:left w:w="120" w:type="dxa"/>
              <w:bottom w:w="80" w:type="dxa"/>
              <w:right w:w="120" w:type="dxa"/>
            </w:tcMar>
          </w:tcPr>
          <w:p w14:paraId="4BC2F71E" w14:textId="77777777" w:rsidR="008A07CA" w:rsidRDefault="00000000">
            <w:r>
              <w:rPr>
                <w:color w:val="000000"/>
              </w:rPr>
              <w:t>Ordinal</w:t>
            </w:r>
          </w:p>
        </w:tc>
        <w:tc>
          <w:tcPr>
            <w:tcW w:w="1560" w:type="dxa"/>
            <w:tcBorders>
              <w:top w:val="single" w:sz="1" w:space="0" w:color="CCCCCC"/>
              <w:left w:val="single" w:sz="1" w:space="0" w:color="CCCCCC"/>
              <w:bottom w:val="single" w:sz="1" w:space="0" w:color="CCCCCC"/>
              <w:right w:val="single" w:sz="1" w:space="0" w:color="CCCCCC"/>
            </w:tcBorders>
            <w:shd w:val="clear" w:color="auto" w:fill="F2F3F4"/>
            <w:tcMar>
              <w:top w:w="80" w:type="dxa"/>
              <w:left w:w="120" w:type="dxa"/>
              <w:bottom w:w="80" w:type="dxa"/>
              <w:right w:w="120" w:type="dxa"/>
            </w:tcMar>
          </w:tcPr>
          <w:p w14:paraId="118F1444" w14:textId="77777777" w:rsidR="008A07CA" w:rsidRDefault="00000000">
            <w:r>
              <w:rPr>
                <w:color w:val="000000"/>
              </w:rPr>
              <w:t>Low → High</w:t>
            </w:r>
          </w:p>
        </w:tc>
        <w:tc>
          <w:tcPr>
            <w:tcW w:w="4600" w:type="dxa"/>
            <w:tcBorders>
              <w:top w:val="single" w:sz="1" w:space="0" w:color="CCCCCC"/>
              <w:left w:val="single" w:sz="1" w:space="0" w:color="CCCCCC"/>
              <w:bottom w:val="single" w:sz="1" w:space="0" w:color="CCCCCC"/>
              <w:right w:val="single" w:sz="1" w:space="0" w:color="CCCCCC"/>
            </w:tcBorders>
            <w:shd w:val="clear" w:color="auto" w:fill="F2F3F4"/>
            <w:tcMar>
              <w:top w:w="80" w:type="dxa"/>
              <w:left w:w="120" w:type="dxa"/>
              <w:bottom w:w="80" w:type="dxa"/>
              <w:right w:w="120" w:type="dxa"/>
            </w:tcMar>
          </w:tcPr>
          <w:p w14:paraId="39092A6D" w14:textId="77777777" w:rsidR="008A07CA" w:rsidRDefault="00000000">
            <w:r>
              <w:rPr>
                <w:color w:val="000000"/>
              </w:rPr>
              <w:t xml:space="preserve">Proxy for food access, healthcare access, and chronic stress. </w:t>
            </w:r>
            <w:proofErr w:type="gramStart"/>
            <w:r>
              <w:rPr>
                <w:color w:val="000000"/>
              </w:rPr>
              <w:t>Ordinal</w:t>
            </w:r>
            <w:proofErr w:type="gramEnd"/>
            <w:r>
              <w:rPr>
                <w:color w:val="000000"/>
              </w:rPr>
              <w:t xml:space="preserve"> encode (0-4).</w:t>
            </w:r>
          </w:p>
        </w:tc>
      </w:tr>
      <w:tr w:rsidR="008A07CA" w14:paraId="22B1D960" w14:textId="77777777">
        <w:tc>
          <w:tcPr>
            <w:tcW w:w="21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D4177B6" w14:textId="77777777" w:rsidR="008A07CA" w:rsidRDefault="00000000">
            <w:proofErr w:type="spellStart"/>
            <w:r>
              <w:rPr>
                <w:color w:val="000000"/>
              </w:rPr>
              <w:t>employment_status</w:t>
            </w:r>
            <w:proofErr w:type="spellEnd"/>
          </w:p>
        </w:tc>
        <w:tc>
          <w:tcPr>
            <w:tcW w:w="11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39A5A95" w14:textId="77777777" w:rsidR="008A07CA" w:rsidRDefault="00000000">
            <w:r>
              <w:rPr>
                <w:color w:val="000000"/>
              </w:rPr>
              <w:t>Nominal</w:t>
            </w:r>
          </w:p>
        </w:tc>
        <w:tc>
          <w:tcPr>
            <w:tcW w:w="1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391DB53" w14:textId="77777777" w:rsidR="008A07CA" w:rsidRDefault="00000000">
            <w:r>
              <w:rPr>
                <w:color w:val="000000"/>
              </w:rPr>
              <w:t>Employed, Unemployed, Retired, Student</w:t>
            </w:r>
          </w:p>
        </w:tc>
        <w:tc>
          <w:tcPr>
            <w:tcW w:w="4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D97C6C8" w14:textId="77777777" w:rsidR="008A07CA" w:rsidRDefault="00000000">
            <w:r>
              <w:rPr>
                <w:color w:val="000000"/>
              </w:rPr>
              <w:t xml:space="preserve">Proxy for structured daily activity and stress. </w:t>
            </w:r>
            <w:proofErr w:type="gramStart"/>
            <w:r>
              <w:rPr>
                <w:color w:val="000000"/>
              </w:rPr>
              <w:t>Label</w:t>
            </w:r>
            <w:proofErr w:type="gramEnd"/>
            <w:r>
              <w:rPr>
                <w:color w:val="000000"/>
              </w:rPr>
              <w:t xml:space="preserve"> encode for modelling.</w:t>
            </w:r>
          </w:p>
        </w:tc>
      </w:tr>
      <w:tr w:rsidR="008A07CA" w14:paraId="7F393383" w14:textId="77777777">
        <w:tc>
          <w:tcPr>
            <w:tcW w:w="2100" w:type="dxa"/>
            <w:tcBorders>
              <w:top w:val="single" w:sz="1" w:space="0" w:color="CCCCCC"/>
              <w:left w:val="single" w:sz="1" w:space="0" w:color="CCCCCC"/>
              <w:bottom w:val="single" w:sz="1" w:space="0" w:color="CCCCCC"/>
              <w:right w:val="single" w:sz="1" w:space="0" w:color="CCCCCC"/>
            </w:tcBorders>
            <w:shd w:val="clear" w:color="auto" w:fill="F2F3F4"/>
            <w:tcMar>
              <w:top w:w="80" w:type="dxa"/>
              <w:left w:w="120" w:type="dxa"/>
              <w:bottom w:w="80" w:type="dxa"/>
              <w:right w:w="120" w:type="dxa"/>
            </w:tcMar>
          </w:tcPr>
          <w:p w14:paraId="1BECEEE0" w14:textId="77777777" w:rsidR="008A07CA" w:rsidRDefault="00000000">
            <w:proofErr w:type="spellStart"/>
            <w:r>
              <w:rPr>
                <w:color w:val="000000"/>
              </w:rPr>
              <w:t>smoking_status</w:t>
            </w:r>
            <w:proofErr w:type="spellEnd"/>
          </w:p>
        </w:tc>
        <w:tc>
          <w:tcPr>
            <w:tcW w:w="1100" w:type="dxa"/>
            <w:tcBorders>
              <w:top w:val="single" w:sz="1" w:space="0" w:color="CCCCCC"/>
              <w:left w:val="single" w:sz="1" w:space="0" w:color="CCCCCC"/>
              <w:bottom w:val="single" w:sz="1" w:space="0" w:color="CCCCCC"/>
              <w:right w:val="single" w:sz="1" w:space="0" w:color="CCCCCC"/>
            </w:tcBorders>
            <w:shd w:val="clear" w:color="auto" w:fill="F2F3F4"/>
            <w:tcMar>
              <w:top w:w="80" w:type="dxa"/>
              <w:left w:w="120" w:type="dxa"/>
              <w:bottom w:w="80" w:type="dxa"/>
              <w:right w:w="120" w:type="dxa"/>
            </w:tcMar>
          </w:tcPr>
          <w:p w14:paraId="6B94C749" w14:textId="77777777" w:rsidR="008A07CA" w:rsidRDefault="00000000">
            <w:r>
              <w:rPr>
                <w:color w:val="000000"/>
              </w:rPr>
              <w:t>Nominal</w:t>
            </w:r>
          </w:p>
        </w:tc>
        <w:tc>
          <w:tcPr>
            <w:tcW w:w="1560" w:type="dxa"/>
            <w:tcBorders>
              <w:top w:val="single" w:sz="1" w:space="0" w:color="CCCCCC"/>
              <w:left w:val="single" w:sz="1" w:space="0" w:color="CCCCCC"/>
              <w:bottom w:val="single" w:sz="1" w:space="0" w:color="CCCCCC"/>
              <w:right w:val="single" w:sz="1" w:space="0" w:color="CCCCCC"/>
            </w:tcBorders>
            <w:shd w:val="clear" w:color="auto" w:fill="F2F3F4"/>
            <w:tcMar>
              <w:top w:w="80" w:type="dxa"/>
              <w:left w:w="120" w:type="dxa"/>
              <w:bottom w:w="80" w:type="dxa"/>
              <w:right w:w="120" w:type="dxa"/>
            </w:tcMar>
          </w:tcPr>
          <w:p w14:paraId="45AE3966" w14:textId="77777777" w:rsidR="008A07CA" w:rsidRDefault="00000000">
            <w:r>
              <w:rPr>
                <w:color w:val="000000"/>
              </w:rPr>
              <w:t>Never / Former / Current</w:t>
            </w:r>
          </w:p>
        </w:tc>
        <w:tc>
          <w:tcPr>
            <w:tcW w:w="4600" w:type="dxa"/>
            <w:tcBorders>
              <w:top w:val="single" w:sz="1" w:space="0" w:color="CCCCCC"/>
              <w:left w:val="single" w:sz="1" w:space="0" w:color="CCCCCC"/>
              <w:bottom w:val="single" w:sz="1" w:space="0" w:color="CCCCCC"/>
              <w:right w:val="single" w:sz="1" w:space="0" w:color="CCCCCC"/>
            </w:tcBorders>
            <w:shd w:val="clear" w:color="auto" w:fill="F2F3F4"/>
            <w:tcMar>
              <w:top w:w="80" w:type="dxa"/>
              <w:left w:w="120" w:type="dxa"/>
              <w:bottom w:w="80" w:type="dxa"/>
              <w:right w:w="120" w:type="dxa"/>
            </w:tcMar>
          </w:tcPr>
          <w:p w14:paraId="47DCDDE3" w14:textId="77777777" w:rsidR="008A07CA" w:rsidRDefault="00000000">
            <w:r>
              <w:rPr>
                <w:color w:val="000000"/>
              </w:rPr>
              <w:t>Independent T2D risk factor. Former smokers remain elevated risk. Do not treat as ordinal — encode as nominal.</w:t>
            </w:r>
          </w:p>
        </w:tc>
      </w:tr>
      <w:tr w:rsidR="008A07CA" w14:paraId="3F8F8A2B" w14:textId="77777777">
        <w:tc>
          <w:tcPr>
            <w:tcW w:w="21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07A37ED" w14:textId="77777777" w:rsidR="008A07CA" w:rsidRDefault="00000000">
            <w:proofErr w:type="spellStart"/>
            <w:r>
              <w:rPr>
                <w:color w:val="000000"/>
              </w:rPr>
              <w:t>alcohol_consumption_per_week</w:t>
            </w:r>
            <w:proofErr w:type="spellEnd"/>
          </w:p>
        </w:tc>
        <w:tc>
          <w:tcPr>
            <w:tcW w:w="11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BC06B5E" w14:textId="77777777" w:rsidR="008A07CA" w:rsidRDefault="00000000">
            <w:r>
              <w:rPr>
                <w:color w:val="000000"/>
              </w:rPr>
              <w:t>Numeric</w:t>
            </w:r>
          </w:p>
        </w:tc>
        <w:tc>
          <w:tcPr>
            <w:tcW w:w="1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FE3E10C" w14:textId="77777777" w:rsidR="008A07CA" w:rsidRDefault="00000000">
            <w:r>
              <w:rPr>
                <w:color w:val="000000"/>
              </w:rPr>
              <w:t>0 – 10 units</w:t>
            </w:r>
          </w:p>
        </w:tc>
        <w:tc>
          <w:tcPr>
            <w:tcW w:w="4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43D526B" w14:textId="77777777" w:rsidR="008A07CA" w:rsidRDefault="00000000">
            <w:r>
              <w:rPr>
                <w:color w:val="000000"/>
              </w:rPr>
              <w:t>Non-linear relationship with risk. Very high consumption is damaging; moderate may be neutral.</w:t>
            </w:r>
          </w:p>
        </w:tc>
      </w:tr>
      <w:tr w:rsidR="008A07CA" w14:paraId="737B41BC" w14:textId="77777777">
        <w:tc>
          <w:tcPr>
            <w:tcW w:w="2100" w:type="dxa"/>
            <w:tcBorders>
              <w:top w:val="single" w:sz="1" w:space="0" w:color="CCCCCC"/>
              <w:left w:val="single" w:sz="1" w:space="0" w:color="CCCCCC"/>
              <w:bottom w:val="single" w:sz="1" w:space="0" w:color="CCCCCC"/>
              <w:right w:val="single" w:sz="1" w:space="0" w:color="CCCCCC"/>
            </w:tcBorders>
            <w:shd w:val="clear" w:color="auto" w:fill="F2F3F4"/>
            <w:tcMar>
              <w:top w:w="80" w:type="dxa"/>
              <w:left w:w="120" w:type="dxa"/>
              <w:bottom w:w="80" w:type="dxa"/>
              <w:right w:w="120" w:type="dxa"/>
            </w:tcMar>
          </w:tcPr>
          <w:p w14:paraId="00B46F6A" w14:textId="77777777" w:rsidR="008A07CA" w:rsidRDefault="00000000">
            <w:proofErr w:type="spellStart"/>
            <w:r>
              <w:rPr>
                <w:color w:val="000000"/>
              </w:rPr>
              <w:t>physical_activity_minutes_per_week</w:t>
            </w:r>
            <w:proofErr w:type="spellEnd"/>
          </w:p>
        </w:tc>
        <w:tc>
          <w:tcPr>
            <w:tcW w:w="1100" w:type="dxa"/>
            <w:tcBorders>
              <w:top w:val="single" w:sz="1" w:space="0" w:color="CCCCCC"/>
              <w:left w:val="single" w:sz="1" w:space="0" w:color="CCCCCC"/>
              <w:bottom w:val="single" w:sz="1" w:space="0" w:color="CCCCCC"/>
              <w:right w:val="single" w:sz="1" w:space="0" w:color="CCCCCC"/>
            </w:tcBorders>
            <w:shd w:val="clear" w:color="auto" w:fill="F2F3F4"/>
            <w:tcMar>
              <w:top w:w="80" w:type="dxa"/>
              <w:left w:w="120" w:type="dxa"/>
              <w:bottom w:w="80" w:type="dxa"/>
              <w:right w:w="120" w:type="dxa"/>
            </w:tcMar>
          </w:tcPr>
          <w:p w14:paraId="2522D62E" w14:textId="77777777" w:rsidR="008A07CA" w:rsidRDefault="00000000">
            <w:r>
              <w:rPr>
                <w:color w:val="000000"/>
              </w:rPr>
              <w:t>Numeric</w:t>
            </w:r>
          </w:p>
        </w:tc>
        <w:tc>
          <w:tcPr>
            <w:tcW w:w="1560" w:type="dxa"/>
            <w:tcBorders>
              <w:top w:val="single" w:sz="1" w:space="0" w:color="CCCCCC"/>
              <w:left w:val="single" w:sz="1" w:space="0" w:color="CCCCCC"/>
              <w:bottom w:val="single" w:sz="1" w:space="0" w:color="CCCCCC"/>
              <w:right w:val="single" w:sz="1" w:space="0" w:color="CCCCCC"/>
            </w:tcBorders>
            <w:shd w:val="clear" w:color="auto" w:fill="F2F3F4"/>
            <w:tcMar>
              <w:top w:w="80" w:type="dxa"/>
              <w:left w:w="120" w:type="dxa"/>
              <w:bottom w:w="80" w:type="dxa"/>
              <w:right w:w="120" w:type="dxa"/>
            </w:tcMar>
          </w:tcPr>
          <w:p w14:paraId="447F5DAE" w14:textId="77777777" w:rsidR="008A07CA" w:rsidRDefault="00000000">
            <w:r>
              <w:rPr>
                <w:color w:val="000000"/>
              </w:rPr>
              <w:t>0 – 833 min</w:t>
            </w:r>
          </w:p>
        </w:tc>
        <w:tc>
          <w:tcPr>
            <w:tcW w:w="4600" w:type="dxa"/>
            <w:tcBorders>
              <w:top w:val="single" w:sz="1" w:space="0" w:color="CCCCCC"/>
              <w:left w:val="single" w:sz="1" w:space="0" w:color="CCCCCC"/>
              <w:bottom w:val="single" w:sz="1" w:space="0" w:color="CCCCCC"/>
              <w:right w:val="single" w:sz="1" w:space="0" w:color="CCCCCC"/>
            </w:tcBorders>
            <w:shd w:val="clear" w:color="auto" w:fill="F2F3F4"/>
            <w:tcMar>
              <w:top w:w="80" w:type="dxa"/>
              <w:left w:w="120" w:type="dxa"/>
              <w:bottom w:w="80" w:type="dxa"/>
              <w:right w:w="120" w:type="dxa"/>
            </w:tcMar>
          </w:tcPr>
          <w:p w14:paraId="6539BFAD" w14:textId="77777777" w:rsidR="008A07CA" w:rsidRDefault="00000000">
            <w:r>
              <w:rPr>
                <w:color w:val="000000"/>
              </w:rPr>
              <w:t>Negatively correlated with T2D risk. WHO threshold: 150 min/week. Key lifestyle intervention target.</w:t>
            </w:r>
          </w:p>
        </w:tc>
      </w:tr>
      <w:tr w:rsidR="008A07CA" w14:paraId="0A25021E" w14:textId="77777777">
        <w:tc>
          <w:tcPr>
            <w:tcW w:w="21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A95CD18" w14:textId="77777777" w:rsidR="008A07CA" w:rsidRDefault="00000000">
            <w:proofErr w:type="spellStart"/>
            <w:r>
              <w:rPr>
                <w:color w:val="000000"/>
              </w:rPr>
              <w:t>diet_score</w:t>
            </w:r>
            <w:proofErr w:type="spellEnd"/>
          </w:p>
        </w:tc>
        <w:tc>
          <w:tcPr>
            <w:tcW w:w="11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FE9FF0A" w14:textId="77777777" w:rsidR="008A07CA" w:rsidRDefault="00000000">
            <w:r>
              <w:rPr>
                <w:color w:val="000000"/>
              </w:rPr>
              <w:t>Numeric</w:t>
            </w:r>
          </w:p>
        </w:tc>
        <w:tc>
          <w:tcPr>
            <w:tcW w:w="1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EE9FD00" w14:textId="77777777" w:rsidR="008A07CA" w:rsidRDefault="00000000">
            <w:r>
              <w:rPr>
                <w:color w:val="000000"/>
              </w:rPr>
              <w:t>0 – 10</w:t>
            </w:r>
          </w:p>
        </w:tc>
        <w:tc>
          <w:tcPr>
            <w:tcW w:w="4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19B9EB9" w14:textId="77777777" w:rsidR="008A07CA" w:rsidRDefault="00000000">
            <w:r>
              <w:rPr>
                <w:color w:val="000000"/>
              </w:rPr>
              <w:t>Higher = better diet quality. Reflects glycaemic load, fibre, and nutrient balance. Strong modifiable risk factor.</w:t>
            </w:r>
          </w:p>
        </w:tc>
      </w:tr>
      <w:tr w:rsidR="008A07CA" w14:paraId="72F8F4CA" w14:textId="77777777">
        <w:tc>
          <w:tcPr>
            <w:tcW w:w="2100" w:type="dxa"/>
            <w:tcBorders>
              <w:top w:val="single" w:sz="1" w:space="0" w:color="CCCCCC"/>
              <w:left w:val="single" w:sz="1" w:space="0" w:color="CCCCCC"/>
              <w:bottom w:val="single" w:sz="1" w:space="0" w:color="CCCCCC"/>
              <w:right w:val="single" w:sz="1" w:space="0" w:color="CCCCCC"/>
            </w:tcBorders>
            <w:shd w:val="clear" w:color="auto" w:fill="F2F3F4"/>
            <w:tcMar>
              <w:top w:w="80" w:type="dxa"/>
              <w:left w:w="120" w:type="dxa"/>
              <w:bottom w:w="80" w:type="dxa"/>
              <w:right w:w="120" w:type="dxa"/>
            </w:tcMar>
          </w:tcPr>
          <w:p w14:paraId="48CEE362" w14:textId="77777777" w:rsidR="008A07CA" w:rsidRDefault="00000000">
            <w:proofErr w:type="spellStart"/>
            <w:r>
              <w:rPr>
                <w:color w:val="000000"/>
              </w:rPr>
              <w:t>sleep_hours_per_day</w:t>
            </w:r>
            <w:proofErr w:type="spellEnd"/>
          </w:p>
        </w:tc>
        <w:tc>
          <w:tcPr>
            <w:tcW w:w="1100" w:type="dxa"/>
            <w:tcBorders>
              <w:top w:val="single" w:sz="1" w:space="0" w:color="CCCCCC"/>
              <w:left w:val="single" w:sz="1" w:space="0" w:color="CCCCCC"/>
              <w:bottom w:val="single" w:sz="1" w:space="0" w:color="CCCCCC"/>
              <w:right w:val="single" w:sz="1" w:space="0" w:color="CCCCCC"/>
            </w:tcBorders>
            <w:shd w:val="clear" w:color="auto" w:fill="F2F3F4"/>
            <w:tcMar>
              <w:top w:w="80" w:type="dxa"/>
              <w:left w:w="120" w:type="dxa"/>
              <w:bottom w:w="80" w:type="dxa"/>
              <w:right w:w="120" w:type="dxa"/>
            </w:tcMar>
          </w:tcPr>
          <w:p w14:paraId="43F60011" w14:textId="77777777" w:rsidR="008A07CA" w:rsidRDefault="00000000">
            <w:r>
              <w:rPr>
                <w:color w:val="000000"/>
              </w:rPr>
              <w:t>Numeric</w:t>
            </w:r>
          </w:p>
        </w:tc>
        <w:tc>
          <w:tcPr>
            <w:tcW w:w="1560" w:type="dxa"/>
            <w:tcBorders>
              <w:top w:val="single" w:sz="1" w:space="0" w:color="CCCCCC"/>
              <w:left w:val="single" w:sz="1" w:space="0" w:color="CCCCCC"/>
              <w:bottom w:val="single" w:sz="1" w:space="0" w:color="CCCCCC"/>
              <w:right w:val="single" w:sz="1" w:space="0" w:color="CCCCCC"/>
            </w:tcBorders>
            <w:shd w:val="clear" w:color="auto" w:fill="F2F3F4"/>
            <w:tcMar>
              <w:top w:w="80" w:type="dxa"/>
              <w:left w:w="120" w:type="dxa"/>
              <w:bottom w:w="80" w:type="dxa"/>
              <w:right w:w="120" w:type="dxa"/>
            </w:tcMar>
          </w:tcPr>
          <w:p w14:paraId="4F6D615E" w14:textId="77777777" w:rsidR="008A07CA" w:rsidRDefault="00000000">
            <w:r>
              <w:rPr>
                <w:color w:val="000000"/>
              </w:rPr>
              <w:t>3 – 10 hrs</w:t>
            </w:r>
          </w:p>
        </w:tc>
        <w:tc>
          <w:tcPr>
            <w:tcW w:w="4600" w:type="dxa"/>
            <w:tcBorders>
              <w:top w:val="single" w:sz="1" w:space="0" w:color="CCCCCC"/>
              <w:left w:val="single" w:sz="1" w:space="0" w:color="CCCCCC"/>
              <w:bottom w:val="single" w:sz="1" w:space="0" w:color="CCCCCC"/>
              <w:right w:val="single" w:sz="1" w:space="0" w:color="CCCCCC"/>
            </w:tcBorders>
            <w:shd w:val="clear" w:color="auto" w:fill="F2F3F4"/>
            <w:tcMar>
              <w:top w:w="80" w:type="dxa"/>
              <w:left w:w="120" w:type="dxa"/>
              <w:bottom w:w="80" w:type="dxa"/>
              <w:right w:w="120" w:type="dxa"/>
            </w:tcMar>
          </w:tcPr>
          <w:p w14:paraId="323D4125" w14:textId="77777777" w:rsidR="008A07CA" w:rsidRDefault="00000000">
            <w:r>
              <w:rPr>
                <w:color w:val="000000"/>
              </w:rPr>
              <w:t xml:space="preserve">Both too little (&lt; 6) and too much (&gt; 9) sleep </w:t>
            </w:r>
            <w:proofErr w:type="gramStart"/>
            <w:r>
              <w:rPr>
                <w:color w:val="000000"/>
              </w:rPr>
              <w:t>are</w:t>
            </w:r>
            <w:proofErr w:type="gramEnd"/>
            <w:r>
              <w:rPr>
                <w:color w:val="000000"/>
              </w:rPr>
              <w:t xml:space="preserve"> associated with metabolic dysregulation. Non-linear risk curve.</w:t>
            </w:r>
          </w:p>
        </w:tc>
      </w:tr>
      <w:tr w:rsidR="008A07CA" w14:paraId="1F3186E9" w14:textId="77777777">
        <w:tc>
          <w:tcPr>
            <w:tcW w:w="21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3D3ED1B" w14:textId="77777777" w:rsidR="008A07CA" w:rsidRDefault="00000000">
            <w:proofErr w:type="spellStart"/>
            <w:r>
              <w:rPr>
                <w:color w:val="000000"/>
              </w:rPr>
              <w:t>screen_time_hours_per_day</w:t>
            </w:r>
            <w:proofErr w:type="spellEnd"/>
          </w:p>
        </w:tc>
        <w:tc>
          <w:tcPr>
            <w:tcW w:w="11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43C0B3D" w14:textId="77777777" w:rsidR="008A07CA" w:rsidRDefault="00000000">
            <w:r>
              <w:rPr>
                <w:color w:val="000000"/>
              </w:rPr>
              <w:t>Numeric</w:t>
            </w:r>
          </w:p>
        </w:tc>
        <w:tc>
          <w:tcPr>
            <w:tcW w:w="1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E87E241" w14:textId="77777777" w:rsidR="008A07CA" w:rsidRDefault="00000000">
            <w:r>
              <w:rPr>
                <w:color w:val="000000"/>
              </w:rPr>
              <w:t>0.5 – 16.8 hrs</w:t>
            </w:r>
          </w:p>
        </w:tc>
        <w:tc>
          <w:tcPr>
            <w:tcW w:w="4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DFF88D8" w14:textId="77777777" w:rsidR="008A07CA" w:rsidRDefault="00000000">
            <w:r>
              <w:rPr>
                <w:color w:val="000000"/>
              </w:rPr>
              <w:t>Proxy for sedentary behaviour. High screen time correlates with low physical activity and disrupted sleep.</w:t>
            </w:r>
          </w:p>
        </w:tc>
      </w:tr>
      <w:tr w:rsidR="008A07CA" w14:paraId="554EC8DB" w14:textId="77777777">
        <w:tc>
          <w:tcPr>
            <w:tcW w:w="2100" w:type="dxa"/>
            <w:tcBorders>
              <w:top w:val="single" w:sz="1" w:space="0" w:color="CCCCCC"/>
              <w:left w:val="single" w:sz="1" w:space="0" w:color="CCCCCC"/>
              <w:bottom w:val="single" w:sz="1" w:space="0" w:color="CCCCCC"/>
              <w:right w:val="single" w:sz="1" w:space="0" w:color="CCCCCC"/>
            </w:tcBorders>
            <w:shd w:val="clear" w:color="auto" w:fill="F2F3F4"/>
            <w:tcMar>
              <w:top w:w="80" w:type="dxa"/>
              <w:left w:w="120" w:type="dxa"/>
              <w:bottom w:w="80" w:type="dxa"/>
              <w:right w:w="120" w:type="dxa"/>
            </w:tcMar>
          </w:tcPr>
          <w:p w14:paraId="4A115436" w14:textId="77777777" w:rsidR="008A07CA" w:rsidRDefault="00000000">
            <w:proofErr w:type="spellStart"/>
            <w:r>
              <w:rPr>
                <w:color w:val="000000"/>
              </w:rPr>
              <w:t>family_history_diabetes</w:t>
            </w:r>
            <w:proofErr w:type="spellEnd"/>
          </w:p>
        </w:tc>
        <w:tc>
          <w:tcPr>
            <w:tcW w:w="1100" w:type="dxa"/>
            <w:tcBorders>
              <w:top w:val="single" w:sz="1" w:space="0" w:color="CCCCCC"/>
              <w:left w:val="single" w:sz="1" w:space="0" w:color="CCCCCC"/>
              <w:bottom w:val="single" w:sz="1" w:space="0" w:color="CCCCCC"/>
              <w:right w:val="single" w:sz="1" w:space="0" w:color="CCCCCC"/>
            </w:tcBorders>
            <w:shd w:val="clear" w:color="auto" w:fill="F2F3F4"/>
            <w:tcMar>
              <w:top w:w="80" w:type="dxa"/>
              <w:left w:w="120" w:type="dxa"/>
              <w:bottom w:w="80" w:type="dxa"/>
              <w:right w:w="120" w:type="dxa"/>
            </w:tcMar>
          </w:tcPr>
          <w:p w14:paraId="15D884F8" w14:textId="77777777" w:rsidR="008A07CA" w:rsidRDefault="00000000">
            <w:r>
              <w:rPr>
                <w:color w:val="000000"/>
              </w:rPr>
              <w:t>Binary</w:t>
            </w:r>
          </w:p>
        </w:tc>
        <w:tc>
          <w:tcPr>
            <w:tcW w:w="1560" w:type="dxa"/>
            <w:tcBorders>
              <w:top w:val="single" w:sz="1" w:space="0" w:color="CCCCCC"/>
              <w:left w:val="single" w:sz="1" w:space="0" w:color="CCCCCC"/>
              <w:bottom w:val="single" w:sz="1" w:space="0" w:color="CCCCCC"/>
              <w:right w:val="single" w:sz="1" w:space="0" w:color="CCCCCC"/>
            </w:tcBorders>
            <w:shd w:val="clear" w:color="auto" w:fill="F2F3F4"/>
            <w:tcMar>
              <w:top w:w="80" w:type="dxa"/>
              <w:left w:w="120" w:type="dxa"/>
              <w:bottom w:w="80" w:type="dxa"/>
              <w:right w:w="120" w:type="dxa"/>
            </w:tcMar>
          </w:tcPr>
          <w:p w14:paraId="2E71E068" w14:textId="77777777" w:rsidR="008A07CA" w:rsidRDefault="00000000">
            <w:r>
              <w:rPr>
                <w:color w:val="000000"/>
              </w:rPr>
              <w:t>0 / 1</w:t>
            </w:r>
          </w:p>
        </w:tc>
        <w:tc>
          <w:tcPr>
            <w:tcW w:w="4600" w:type="dxa"/>
            <w:tcBorders>
              <w:top w:val="single" w:sz="1" w:space="0" w:color="CCCCCC"/>
              <w:left w:val="single" w:sz="1" w:space="0" w:color="CCCCCC"/>
              <w:bottom w:val="single" w:sz="1" w:space="0" w:color="CCCCCC"/>
              <w:right w:val="single" w:sz="1" w:space="0" w:color="CCCCCC"/>
            </w:tcBorders>
            <w:shd w:val="clear" w:color="auto" w:fill="F2F3F4"/>
            <w:tcMar>
              <w:top w:w="80" w:type="dxa"/>
              <w:left w:w="120" w:type="dxa"/>
              <w:bottom w:w="80" w:type="dxa"/>
              <w:right w:w="120" w:type="dxa"/>
            </w:tcMar>
          </w:tcPr>
          <w:p w14:paraId="61BAC61A" w14:textId="77777777" w:rsidR="008A07CA" w:rsidRDefault="00000000">
            <w:r>
              <w:rPr>
                <w:color w:val="000000"/>
              </w:rPr>
              <w:t>1 = first-degree relative with diabetes. 2-6x increased T2D risk. Strong genetic signal.</w:t>
            </w:r>
          </w:p>
        </w:tc>
      </w:tr>
      <w:tr w:rsidR="008A07CA" w14:paraId="02122B3C" w14:textId="77777777">
        <w:tc>
          <w:tcPr>
            <w:tcW w:w="21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A7C6B99" w14:textId="77777777" w:rsidR="008A07CA" w:rsidRDefault="00000000">
            <w:proofErr w:type="spellStart"/>
            <w:r>
              <w:rPr>
                <w:color w:val="000000"/>
              </w:rPr>
              <w:t>hypertension_history</w:t>
            </w:r>
            <w:proofErr w:type="spellEnd"/>
          </w:p>
        </w:tc>
        <w:tc>
          <w:tcPr>
            <w:tcW w:w="11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238B7F5" w14:textId="77777777" w:rsidR="008A07CA" w:rsidRDefault="00000000">
            <w:r>
              <w:rPr>
                <w:color w:val="000000"/>
              </w:rPr>
              <w:t>Binary</w:t>
            </w:r>
          </w:p>
        </w:tc>
        <w:tc>
          <w:tcPr>
            <w:tcW w:w="1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4F5F0A4" w14:textId="77777777" w:rsidR="008A07CA" w:rsidRDefault="00000000">
            <w:r>
              <w:rPr>
                <w:color w:val="000000"/>
              </w:rPr>
              <w:t>0 / 1</w:t>
            </w:r>
          </w:p>
        </w:tc>
        <w:tc>
          <w:tcPr>
            <w:tcW w:w="4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A1DBE17" w14:textId="77777777" w:rsidR="008A07CA" w:rsidRDefault="00000000">
            <w:r>
              <w:rPr>
                <w:color w:val="000000"/>
              </w:rPr>
              <w:t>Co-morbidity of metabolic syndrome. Shared insulin-resistance pathway. 70% of T2D patients are hypertensive.</w:t>
            </w:r>
          </w:p>
        </w:tc>
      </w:tr>
      <w:tr w:rsidR="008A07CA" w14:paraId="7B63DA60" w14:textId="77777777">
        <w:tc>
          <w:tcPr>
            <w:tcW w:w="2100" w:type="dxa"/>
            <w:tcBorders>
              <w:top w:val="single" w:sz="1" w:space="0" w:color="CCCCCC"/>
              <w:left w:val="single" w:sz="1" w:space="0" w:color="CCCCCC"/>
              <w:bottom w:val="single" w:sz="1" w:space="0" w:color="CCCCCC"/>
              <w:right w:val="single" w:sz="1" w:space="0" w:color="CCCCCC"/>
            </w:tcBorders>
            <w:shd w:val="clear" w:color="auto" w:fill="F2F3F4"/>
            <w:tcMar>
              <w:top w:w="80" w:type="dxa"/>
              <w:left w:w="120" w:type="dxa"/>
              <w:bottom w:w="80" w:type="dxa"/>
              <w:right w:w="120" w:type="dxa"/>
            </w:tcMar>
          </w:tcPr>
          <w:p w14:paraId="0E115D17" w14:textId="77777777" w:rsidR="008A07CA" w:rsidRDefault="00000000">
            <w:proofErr w:type="spellStart"/>
            <w:r>
              <w:rPr>
                <w:color w:val="000000"/>
              </w:rPr>
              <w:t>cardiovascular_history</w:t>
            </w:r>
            <w:proofErr w:type="spellEnd"/>
          </w:p>
        </w:tc>
        <w:tc>
          <w:tcPr>
            <w:tcW w:w="1100" w:type="dxa"/>
            <w:tcBorders>
              <w:top w:val="single" w:sz="1" w:space="0" w:color="CCCCCC"/>
              <w:left w:val="single" w:sz="1" w:space="0" w:color="CCCCCC"/>
              <w:bottom w:val="single" w:sz="1" w:space="0" w:color="CCCCCC"/>
              <w:right w:val="single" w:sz="1" w:space="0" w:color="CCCCCC"/>
            </w:tcBorders>
            <w:shd w:val="clear" w:color="auto" w:fill="F2F3F4"/>
            <w:tcMar>
              <w:top w:w="80" w:type="dxa"/>
              <w:left w:w="120" w:type="dxa"/>
              <w:bottom w:w="80" w:type="dxa"/>
              <w:right w:w="120" w:type="dxa"/>
            </w:tcMar>
          </w:tcPr>
          <w:p w14:paraId="4B2CE8FD" w14:textId="77777777" w:rsidR="008A07CA" w:rsidRDefault="00000000">
            <w:r>
              <w:rPr>
                <w:color w:val="000000"/>
              </w:rPr>
              <w:t>Binary</w:t>
            </w:r>
          </w:p>
        </w:tc>
        <w:tc>
          <w:tcPr>
            <w:tcW w:w="1560" w:type="dxa"/>
            <w:tcBorders>
              <w:top w:val="single" w:sz="1" w:space="0" w:color="CCCCCC"/>
              <w:left w:val="single" w:sz="1" w:space="0" w:color="CCCCCC"/>
              <w:bottom w:val="single" w:sz="1" w:space="0" w:color="CCCCCC"/>
              <w:right w:val="single" w:sz="1" w:space="0" w:color="CCCCCC"/>
            </w:tcBorders>
            <w:shd w:val="clear" w:color="auto" w:fill="F2F3F4"/>
            <w:tcMar>
              <w:top w:w="80" w:type="dxa"/>
              <w:left w:w="120" w:type="dxa"/>
              <w:bottom w:w="80" w:type="dxa"/>
              <w:right w:w="120" w:type="dxa"/>
            </w:tcMar>
          </w:tcPr>
          <w:p w14:paraId="14F31425" w14:textId="77777777" w:rsidR="008A07CA" w:rsidRDefault="00000000">
            <w:r>
              <w:rPr>
                <w:color w:val="000000"/>
              </w:rPr>
              <w:t>0 / 1</w:t>
            </w:r>
          </w:p>
        </w:tc>
        <w:tc>
          <w:tcPr>
            <w:tcW w:w="4600" w:type="dxa"/>
            <w:tcBorders>
              <w:top w:val="single" w:sz="1" w:space="0" w:color="CCCCCC"/>
              <w:left w:val="single" w:sz="1" w:space="0" w:color="CCCCCC"/>
              <w:bottom w:val="single" w:sz="1" w:space="0" w:color="CCCCCC"/>
              <w:right w:val="single" w:sz="1" w:space="0" w:color="CCCCCC"/>
            </w:tcBorders>
            <w:shd w:val="clear" w:color="auto" w:fill="F2F3F4"/>
            <w:tcMar>
              <w:top w:w="80" w:type="dxa"/>
              <w:left w:w="120" w:type="dxa"/>
              <w:bottom w:w="80" w:type="dxa"/>
              <w:right w:w="120" w:type="dxa"/>
            </w:tcMar>
          </w:tcPr>
          <w:p w14:paraId="4C5887F0" w14:textId="77777777" w:rsidR="008A07CA" w:rsidRDefault="00000000">
            <w:r>
              <w:rPr>
                <w:color w:val="000000"/>
              </w:rPr>
              <w:t xml:space="preserve">Indicates presence of atherosclerosis or prior cardiac </w:t>
            </w:r>
            <w:r>
              <w:rPr>
                <w:color w:val="000000"/>
              </w:rPr>
              <w:lastRenderedPageBreak/>
              <w:t>events. Shared aetiology with T2D.</w:t>
            </w:r>
          </w:p>
        </w:tc>
      </w:tr>
      <w:tr w:rsidR="008A07CA" w14:paraId="095C0B8C" w14:textId="77777777">
        <w:tc>
          <w:tcPr>
            <w:tcW w:w="21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0BD8D0F" w14:textId="77777777" w:rsidR="008A07CA" w:rsidRDefault="00000000">
            <w:proofErr w:type="spellStart"/>
            <w:r>
              <w:rPr>
                <w:color w:val="000000"/>
              </w:rPr>
              <w:lastRenderedPageBreak/>
              <w:t>bmi</w:t>
            </w:r>
            <w:proofErr w:type="spellEnd"/>
          </w:p>
        </w:tc>
        <w:tc>
          <w:tcPr>
            <w:tcW w:w="11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2D95FC7" w14:textId="77777777" w:rsidR="008A07CA" w:rsidRDefault="00000000">
            <w:r>
              <w:rPr>
                <w:color w:val="000000"/>
              </w:rPr>
              <w:t>Numeric</w:t>
            </w:r>
          </w:p>
        </w:tc>
        <w:tc>
          <w:tcPr>
            <w:tcW w:w="1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83C1B47" w14:textId="77777777" w:rsidR="008A07CA" w:rsidRDefault="00000000">
            <w:r>
              <w:rPr>
                <w:color w:val="000000"/>
              </w:rPr>
              <w:t>15.0 – 39.2</w:t>
            </w:r>
          </w:p>
        </w:tc>
        <w:tc>
          <w:tcPr>
            <w:tcW w:w="4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4EF3F4C" w14:textId="77777777" w:rsidR="008A07CA" w:rsidRDefault="00000000">
            <w:r>
              <w:rPr>
                <w:color w:val="000000"/>
              </w:rPr>
              <w:t>Most important modifiable anthropometric risk factor. Obese (≥ 30) have 7x T2D risk vs normal weight.</w:t>
            </w:r>
          </w:p>
        </w:tc>
      </w:tr>
      <w:tr w:rsidR="008A07CA" w14:paraId="09346872" w14:textId="77777777">
        <w:tc>
          <w:tcPr>
            <w:tcW w:w="2100" w:type="dxa"/>
            <w:tcBorders>
              <w:top w:val="single" w:sz="1" w:space="0" w:color="CCCCCC"/>
              <w:left w:val="single" w:sz="1" w:space="0" w:color="CCCCCC"/>
              <w:bottom w:val="single" w:sz="1" w:space="0" w:color="CCCCCC"/>
              <w:right w:val="single" w:sz="1" w:space="0" w:color="CCCCCC"/>
            </w:tcBorders>
            <w:shd w:val="clear" w:color="auto" w:fill="F2F3F4"/>
            <w:tcMar>
              <w:top w:w="80" w:type="dxa"/>
              <w:left w:w="120" w:type="dxa"/>
              <w:bottom w:w="80" w:type="dxa"/>
              <w:right w:w="120" w:type="dxa"/>
            </w:tcMar>
          </w:tcPr>
          <w:p w14:paraId="2B33B188" w14:textId="77777777" w:rsidR="008A07CA" w:rsidRDefault="00000000">
            <w:proofErr w:type="spellStart"/>
            <w:r>
              <w:rPr>
                <w:color w:val="000000"/>
              </w:rPr>
              <w:t>waist_to_hip_ratio</w:t>
            </w:r>
            <w:proofErr w:type="spellEnd"/>
          </w:p>
        </w:tc>
        <w:tc>
          <w:tcPr>
            <w:tcW w:w="1100" w:type="dxa"/>
            <w:tcBorders>
              <w:top w:val="single" w:sz="1" w:space="0" w:color="CCCCCC"/>
              <w:left w:val="single" w:sz="1" w:space="0" w:color="CCCCCC"/>
              <w:bottom w:val="single" w:sz="1" w:space="0" w:color="CCCCCC"/>
              <w:right w:val="single" w:sz="1" w:space="0" w:color="CCCCCC"/>
            </w:tcBorders>
            <w:shd w:val="clear" w:color="auto" w:fill="F2F3F4"/>
            <w:tcMar>
              <w:top w:w="80" w:type="dxa"/>
              <w:left w:w="120" w:type="dxa"/>
              <w:bottom w:w="80" w:type="dxa"/>
              <w:right w:w="120" w:type="dxa"/>
            </w:tcMar>
          </w:tcPr>
          <w:p w14:paraId="792E86AB" w14:textId="77777777" w:rsidR="008A07CA" w:rsidRDefault="00000000">
            <w:r>
              <w:rPr>
                <w:color w:val="000000"/>
              </w:rPr>
              <w:t>Numeric</w:t>
            </w:r>
          </w:p>
        </w:tc>
        <w:tc>
          <w:tcPr>
            <w:tcW w:w="1560" w:type="dxa"/>
            <w:tcBorders>
              <w:top w:val="single" w:sz="1" w:space="0" w:color="CCCCCC"/>
              <w:left w:val="single" w:sz="1" w:space="0" w:color="CCCCCC"/>
              <w:bottom w:val="single" w:sz="1" w:space="0" w:color="CCCCCC"/>
              <w:right w:val="single" w:sz="1" w:space="0" w:color="CCCCCC"/>
            </w:tcBorders>
            <w:shd w:val="clear" w:color="auto" w:fill="F2F3F4"/>
            <w:tcMar>
              <w:top w:w="80" w:type="dxa"/>
              <w:left w:w="120" w:type="dxa"/>
              <w:bottom w:w="80" w:type="dxa"/>
              <w:right w:w="120" w:type="dxa"/>
            </w:tcMar>
          </w:tcPr>
          <w:p w14:paraId="08F14D47" w14:textId="77777777" w:rsidR="008A07CA" w:rsidRDefault="00000000">
            <w:r>
              <w:rPr>
                <w:color w:val="000000"/>
              </w:rPr>
              <w:t>0.67 – 1.06</w:t>
            </w:r>
          </w:p>
        </w:tc>
        <w:tc>
          <w:tcPr>
            <w:tcW w:w="4600" w:type="dxa"/>
            <w:tcBorders>
              <w:top w:val="single" w:sz="1" w:space="0" w:color="CCCCCC"/>
              <w:left w:val="single" w:sz="1" w:space="0" w:color="CCCCCC"/>
              <w:bottom w:val="single" w:sz="1" w:space="0" w:color="CCCCCC"/>
              <w:right w:val="single" w:sz="1" w:space="0" w:color="CCCCCC"/>
            </w:tcBorders>
            <w:shd w:val="clear" w:color="auto" w:fill="F2F3F4"/>
            <w:tcMar>
              <w:top w:w="80" w:type="dxa"/>
              <w:left w:w="120" w:type="dxa"/>
              <w:bottom w:w="80" w:type="dxa"/>
              <w:right w:w="120" w:type="dxa"/>
            </w:tcMar>
          </w:tcPr>
          <w:p w14:paraId="2C2E59B6" w14:textId="77777777" w:rsidR="008A07CA" w:rsidRDefault="00000000">
            <w:r>
              <w:rPr>
                <w:color w:val="000000"/>
              </w:rPr>
              <w:t>Better than BMI for predicting metabolic risk. WHR &gt; 0.90 (M) or 0.85 (F) indicates central obesity.</w:t>
            </w:r>
          </w:p>
        </w:tc>
      </w:tr>
      <w:tr w:rsidR="008A07CA" w14:paraId="61A08272" w14:textId="77777777">
        <w:tc>
          <w:tcPr>
            <w:tcW w:w="21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A97A246" w14:textId="77777777" w:rsidR="008A07CA" w:rsidRDefault="00000000">
            <w:proofErr w:type="spellStart"/>
            <w:r>
              <w:rPr>
                <w:color w:val="000000"/>
              </w:rPr>
              <w:t>systolic_bp</w:t>
            </w:r>
            <w:proofErr w:type="spellEnd"/>
            <w:r>
              <w:rPr>
                <w:color w:val="000000"/>
              </w:rPr>
              <w:t xml:space="preserve"> / </w:t>
            </w:r>
            <w:proofErr w:type="spellStart"/>
            <w:r>
              <w:rPr>
                <w:color w:val="000000"/>
              </w:rPr>
              <w:t>diastolic_bp</w:t>
            </w:r>
            <w:proofErr w:type="spellEnd"/>
          </w:p>
        </w:tc>
        <w:tc>
          <w:tcPr>
            <w:tcW w:w="11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6392E7F" w14:textId="77777777" w:rsidR="008A07CA" w:rsidRDefault="00000000">
            <w:r>
              <w:rPr>
                <w:color w:val="000000"/>
              </w:rPr>
              <w:t>Numeric</w:t>
            </w:r>
          </w:p>
        </w:tc>
        <w:tc>
          <w:tcPr>
            <w:tcW w:w="1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AB99A86" w14:textId="77777777" w:rsidR="008A07CA" w:rsidRDefault="00000000">
            <w:r>
              <w:rPr>
                <w:color w:val="000000"/>
              </w:rPr>
              <w:t>90-179 / 50-110 mmHg</w:t>
            </w:r>
          </w:p>
        </w:tc>
        <w:tc>
          <w:tcPr>
            <w:tcW w:w="4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D69DF17" w14:textId="77777777" w:rsidR="008A07CA" w:rsidRDefault="00000000">
            <w:r>
              <w:rPr>
                <w:color w:val="000000"/>
              </w:rPr>
              <w:t xml:space="preserve">Hypertension marker. Metabolic syndrome criterion: SBP ≥ 130 or DBP ≥ 85. Engineered feature: </w:t>
            </w:r>
            <w:proofErr w:type="spellStart"/>
            <w:r>
              <w:rPr>
                <w:color w:val="000000"/>
              </w:rPr>
              <w:t>pulse_pressure</w:t>
            </w:r>
            <w:proofErr w:type="spellEnd"/>
            <w:r>
              <w:rPr>
                <w:color w:val="000000"/>
              </w:rPr>
              <w:t xml:space="preserve"> = SBP - DBP.</w:t>
            </w:r>
          </w:p>
        </w:tc>
      </w:tr>
      <w:tr w:rsidR="008A07CA" w14:paraId="76C599AA" w14:textId="77777777">
        <w:tc>
          <w:tcPr>
            <w:tcW w:w="2100" w:type="dxa"/>
            <w:tcBorders>
              <w:top w:val="single" w:sz="1" w:space="0" w:color="CCCCCC"/>
              <w:left w:val="single" w:sz="1" w:space="0" w:color="CCCCCC"/>
              <w:bottom w:val="single" w:sz="1" w:space="0" w:color="CCCCCC"/>
              <w:right w:val="single" w:sz="1" w:space="0" w:color="CCCCCC"/>
            </w:tcBorders>
            <w:shd w:val="clear" w:color="auto" w:fill="F2F3F4"/>
            <w:tcMar>
              <w:top w:w="80" w:type="dxa"/>
              <w:left w:w="120" w:type="dxa"/>
              <w:bottom w:w="80" w:type="dxa"/>
              <w:right w:w="120" w:type="dxa"/>
            </w:tcMar>
          </w:tcPr>
          <w:p w14:paraId="65B92A73" w14:textId="77777777" w:rsidR="008A07CA" w:rsidRDefault="00000000">
            <w:proofErr w:type="spellStart"/>
            <w:r>
              <w:rPr>
                <w:color w:val="000000"/>
              </w:rPr>
              <w:t>heart_rate</w:t>
            </w:r>
            <w:proofErr w:type="spellEnd"/>
          </w:p>
        </w:tc>
        <w:tc>
          <w:tcPr>
            <w:tcW w:w="1100" w:type="dxa"/>
            <w:tcBorders>
              <w:top w:val="single" w:sz="1" w:space="0" w:color="CCCCCC"/>
              <w:left w:val="single" w:sz="1" w:space="0" w:color="CCCCCC"/>
              <w:bottom w:val="single" w:sz="1" w:space="0" w:color="CCCCCC"/>
              <w:right w:val="single" w:sz="1" w:space="0" w:color="CCCCCC"/>
            </w:tcBorders>
            <w:shd w:val="clear" w:color="auto" w:fill="F2F3F4"/>
            <w:tcMar>
              <w:top w:w="80" w:type="dxa"/>
              <w:left w:w="120" w:type="dxa"/>
              <w:bottom w:w="80" w:type="dxa"/>
              <w:right w:w="120" w:type="dxa"/>
            </w:tcMar>
          </w:tcPr>
          <w:p w14:paraId="0B9E7238" w14:textId="77777777" w:rsidR="008A07CA" w:rsidRDefault="00000000">
            <w:r>
              <w:rPr>
                <w:color w:val="000000"/>
              </w:rPr>
              <w:t>Numeric</w:t>
            </w:r>
          </w:p>
        </w:tc>
        <w:tc>
          <w:tcPr>
            <w:tcW w:w="1560" w:type="dxa"/>
            <w:tcBorders>
              <w:top w:val="single" w:sz="1" w:space="0" w:color="CCCCCC"/>
              <w:left w:val="single" w:sz="1" w:space="0" w:color="CCCCCC"/>
              <w:bottom w:val="single" w:sz="1" w:space="0" w:color="CCCCCC"/>
              <w:right w:val="single" w:sz="1" w:space="0" w:color="CCCCCC"/>
            </w:tcBorders>
            <w:shd w:val="clear" w:color="auto" w:fill="F2F3F4"/>
            <w:tcMar>
              <w:top w:w="80" w:type="dxa"/>
              <w:left w:w="120" w:type="dxa"/>
              <w:bottom w:w="80" w:type="dxa"/>
              <w:right w:w="120" w:type="dxa"/>
            </w:tcMar>
          </w:tcPr>
          <w:p w14:paraId="58908C29" w14:textId="77777777" w:rsidR="008A07CA" w:rsidRDefault="00000000">
            <w:r>
              <w:rPr>
                <w:color w:val="000000"/>
              </w:rPr>
              <w:t>40 – 105 bpm</w:t>
            </w:r>
          </w:p>
        </w:tc>
        <w:tc>
          <w:tcPr>
            <w:tcW w:w="4600" w:type="dxa"/>
            <w:tcBorders>
              <w:top w:val="single" w:sz="1" w:space="0" w:color="CCCCCC"/>
              <w:left w:val="single" w:sz="1" w:space="0" w:color="CCCCCC"/>
              <w:bottom w:val="single" w:sz="1" w:space="0" w:color="CCCCCC"/>
              <w:right w:val="single" w:sz="1" w:space="0" w:color="CCCCCC"/>
            </w:tcBorders>
            <w:shd w:val="clear" w:color="auto" w:fill="F2F3F4"/>
            <w:tcMar>
              <w:top w:w="80" w:type="dxa"/>
              <w:left w:w="120" w:type="dxa"/>
              <w:bottom w:w="80" w:type="dxa"/>
              <w:right w:w="120" w:type="dxa"/>
            </w:tcMar>
          </w:tcPr>
          <w:p w14:paraId="3C5DD51D" w14:textId="77777777" w:rsidR="008A07CA" w:rsidRDefault="00000000">
            <w:r>
              <w:rPr>
                <w:color w:val="000000"/>
              </w:rPr>
              <w:t>Elevated resting heart rate is associated with insulin resistance and autonomic dysfunction in diabetes.</w:t>
            </w:r>
          </w:p>
        </w:tc>
      </w:tr>
      <w:tr w:rsidR="008A07CA" w14:paraId="3DEC392B" w14:textId="77777777">
        <w:tc>
          <w:tcPr>
            <w:tcW w:w="21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5A510B0" w14:textId="77777777" w:rsidR="008A07CA" w:rsidRDefault="00000000">
            <w:proofErr w:type="spellStart"/>
            <w:r>
              <w:rPr>
                <w:color w:val="000000"/>
              </w:rPr>
              <w:t>cholesterol_total</w:t>
            </w:r>
            <w:proofErr w:type="spellEnd"/>
            <w:r>
              <w:rPr>
                <w:color w:val="000000"/>
              </w:rPr>
              <w:t xml:space="preserve"> / HDL / LDL</w:t>
            </w:r>
          </w:p>
        </w:tc>
        <w:tc>
          <w:tcPr>
            <w:tcW w:w="11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87DE236" w14:textId="77777777" w:rsidR="008A07CA" w:rsidRDefault="00000000">
            <w:r>
              <w:rPr>
                <w:color w:val="000000"/>
              </w:rPr>
              <w:t>Numeric</w:t>
            </w:r>
          </w:p>
        </w:tc>
        <w:tc>
          <w:tcPr>
            <w:tcW w:w="1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05C2D41" w14:textId="77777777" w:rsidR="008A07CA" w:rsidRDefault="00000000">
            <w:r>
              <w:rPr>
                <w:color w:val="000000"/>
              </w:rPr>
              <w:t>100-318 / 20-98 / 50-263 mg/dL</w:t>
            </w:r>
          </w:p>
        </w:tc>
        <w:tc>
          <w:tcPr>
            <w:tcW w:w="4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B40BF00" w14:textId="77777777" w:rsidR="008A07CA" w:rsidRDefault="00000000">
            <w:r>
              <w:rPr>
                <w:color w:val="000000"/>
              </w:rPr>
              <w:t>Dyslipidaemia is metabolic syndrome criterion. Low HDL (&lt; 40 M, &lt; 50 F) and high LDL drive cardiovascular risk in diabetics.</w:t>
            </w:r>
          </w:p>
        </w:tc>
      </w:tr>
      <w:tr w:rsidR="008A07CA" w14:paraId="434D5DA2" w14:textId="77777777">
        <w:tc>
          <w:tcPr>
            <w:tcW w:w="2100" w:type="dxa"/>
            <w:tcBorders>
              <w:top w:val="single" w:sz="1" w:space="0" w:color="CCCCCC"/>
              <w:left w:val="single" w:sz="1" w:space="0" w:color="CCCCCC"/>
              <w:bottom w:val="single" w:sz="1" w:space="0" w:color="CCCCCC"/>
              <w:right w:val="single" w:sz="1" w:space="0" w:color="CCCCCC"/>
            </w:tcBorders>
            <w:shd w:val="clear" w:color="auto" w:fill="F2F3F4"/>
            <w:tcMar>
              <w:top w:w="80" w:type="dxa"/>
              <w:left w:w="120" w:type="dxa"/>
              <w:bottom w:w="80" w:type="dxa"/>
              <w:right w:w="120" w:type="dxa"/>
            </w:tcMar>
          </w:tcPr>
          <w:p w14:paraId="2A59FC1E" w14:textId="77777777" w:rsidR="008A07CA" w:rsidRDefault="00000000">
            <w:r>
              <w:rPr>
                <w:color w:val="000000"/>
              </w:rPr>
              <w:t>triglycerides</w:t>
            </w:r>
          </w:p>
        </w:tc>
        <w:tc>
          <w:tcPr>
            <w:tcW w:w="1100" w:type="dxa"/>
            <w:tcBorders>
              <w:top w:val="single" w:sz="1" w:space="0" w:color="CCCCCC"/>
              <w:left w:val="single" w:sz="1" w:space="0" w:color="CCCCCC"/>
              <w:bottom w:val="single" w:sz="1" w:space="0" w:color="CCCCCC"/>
              <w:right w:val="single" w:sz="1" w:space="0" w:color="CCCCCC"/>
            </w:tcBorders>
            <w:shd w:val="clear" w:color="auto" w:fill="F2F3F4"/>
            <w:tcMar>
              <w:top w:w="80" w:type="dxa"/>
              <w:left w:w="120" w:type="dxa"/>
              <w:bottom w:w="80" w:type="dxa"/>
              <w:right w:w="120" w:type="dxa"/>
            </w:tcMar>
          </w:tcPr>
          <w:p w14:paraId="5929C80A" w14:textId="77777777" w:rsidR="008A07CA" w:rsidRDefault="00000000">
            <w:r>
              <w:rPr>
                <w:color w:val="000000"/>
              </w:rPr>
              <w:t>Numeric</w:t>
            </w:r>
          </w:p>
        </w:tc>
        <w:tc>
          <w:tcPr>
            <w:tcW w:w="1560" w:type="dxa"/>
            <w:tcBorders>
              <w:top w:val="single" w:sz="1" w:space="0" w:color="CCCCCC"/>
              <w:left w:val="single" w:sz="1" w:space="0" w:color="CCCCCC"/>
              <w:bottom w:val="single" w:sz="1" w:space="0" w:color="CCCCCC"/>
              <w:right w:val="single" w:sz="1" w:space="0" w:color="CCCCCC"/>
            </w:tcBorders>
            <w:shd w:val="clear" w:color="auto" w:fill="F2F3F4"/>
            <w:tcMar>
              <w:top w:w="80" w:type="dxa"/>
              <w:left w:w="120" w:type="dxa"/>
              <w:bottom w:w="80" w:type="dxa"/>
              <w:right w:w="120" w:type="dxa"/>
            </w:tcMar>
          </w:tcPr>
          <w:p w14:paraId="32EC09DD" w14:textId="77777777" w:rsidR="008A07CA" w:rsidRDefault="00000000">
            <w:r>
              <w:rPr>
                <w:color w:val="000000"/>
              </w:rPr>
              <w:t>30 – 344 mg/dL</w:t>
            </w:r>
          </w:p>
        </w:tc>
        <w:tc>
          <w:tcPr>
            <w:tcW w:w="4600" w:type="dxa"/>
            <w:tcBorders>
              <w:top w:val="single" w:sz="1" w:space="0" w:color="CCCCCC"/>
              <w:left w:val="single" w:sz="1" w:space="0" w:color="CCCCCC"/>
              <w:bottom w:val="single" w:sz="1" w:space="0" w:color="CCCCCC"/>
              <w:right w:val="single" w:sz="1" w:space="0" w:color="CCCCCC"/>
            </w:tcBorders>
            <w:shd w:val="clear" w:color="auto" w:fill="F2F3F4"/>
            <w:tcMar>
              <w:top w:w="80" w:type="dxa"/>
              <w:left w:w="120" w:type="dxa"/>
              <w:bottom w:w="80" w:type="dxa"/>
              <w:right w:w="120" w:type="dxa"/>
            </w:tcMar>
          </w:tcPr>
          <w:p w14:paraId="24434225" w14:textId="77777777" w:rsidR="008A07CA" w:rsidRDefault="00000000">
            <w:r>
              <w:rPr>
                <w:color w:val="000000"/>
              </w:rPr>
              <w:t>TG &gt; 150 is metabolic syndrome criterion. TG/HDL ratio is a powerful insulin resistance proxy. TG levels are highly responsive to diet and exercise.</w:t>
            </w:r>
          </w:p>
        </w:tc>
      </w:tr>
      <w:tr w:rsidR="008A07CA" w14:paraId="501C4AB8" w14:textId="77777777">
        <w:tc>
          <w:tcPr>
            <w:tcW w:w="21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A0DE1AD" w14:textId="77777777" w:rsidR="008A07CA" w:rsidRDefault="00000000">
            <w:proofErr w:type="spellStart"/>
            <w:r>
              <w:rPr>
                <w:color w:val="000000"/>
              </w:rPr>
              <w:t>glucose_fasting</w:t>
            </w:r>
            <w:proofErr w:type="spellEnd"/>
          </w:p>
        </w:tc>
        <w:tc>
          <w:tcPr>
            <w:tcW w:w="11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1976ACF" w14:textId="77777777" w:rsidR="008A07CA" w:rsidRDefault="00000000">
            <w:r>
              <w:rPr>
                <w:color w:val="000000"/>
              </w:rPr>
              <w:t>Numeric</w:t>
            </w:r>
          </w:p>
        </w:tc>
        <w:tc>
          <w:tcPr>
            <w:tcW w:w="1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8E9738C" w14:textId="77777777" w:rsidR="008A07CA" w:rsidRDefault="00000000">
            <w:r>
              <w:rPr>
                <w:color w:val="000000"/>
              </w:rPr>
              <w:t>60 – 172 mg/dL</w:t>
            </w:r>
          </w:p>
        </w:tc>
        <w:tc>
          <w:tcPr>
            <w:tcW w:w="4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F028E5C" w14:textId="77777777" w:rsidR="008A07CA" w:rsidRDefault="00000000">
            <w:r>
              <w:rPr>
                <w:color w:val="000000"/>
              </w:rPr>
              <w:t>Primary diagnostic criterion. Should be one of the top SHAP features. Engineered band: Normal / Pre-Diabetic / Diabetic.</w:t>
            </w:r>
          </w:p>
        </w:tc>
      </w:tr>
      <w:tr w:rsidR="008A07CA" w14:paraId="1529F11B" w14:textId="77777777">
        <w:tc>
          <w:tcPr>
            <w:tcW w:w="2100" w:type="dxa"/>
            <w:tcBorders>
              <w:top w:val="single" w:sz="1" w:space="0" w:color="CCCCCC"/>
              <w:left w:val="single" w:sz="1" w:space="0" w:color="CCCCCC"/>
              <w:bottom w:val="single" w:sz="1" w:space="0" w:color="CCCCCC"/>
              <w:right w:val="single" w:sz="1" w:space="0" w:color="CCCCCC"/>
            </w:tcBorders>
            <w:shd w:val="clear" w:color="auto" w:fill="F2F3F4"/>
            <w:tcMar>
              <w:top w:w="80" w:type="dxa"/>
              <w:left w:w="120" w:type="dxa"/>
              <w:bottom w:w="80" w:type="dxa"/>
              <w:right w:w="120" w:type="dxa"/>
            </w:tcMar>
          </w:tcPr>
          <w:p w14:paraId="686B52E0" w14:textId="77777777" w:rsidR="008A07CA" w:rsidRDefault="00000000">
            <w:proofErr w:type="spellStart"/>
            <w:r>
              <w:rPr>
                <w:color w:val="000000"/>
              </w:rPr>
              <w:t>glucose_postprandial</w:t>
            </w:r>
            <w:proofErr w:type="spellEnd"/>
          </w:p>
        </w:tc>
        <w:tc>
          <w:tcPr>
            <w:tcW w:w="1100" w:type="dxa"/>
            <w:tcBorders>
              <w:top w:val="single" w:sz="1" w:space="0" w:color="CCCCCC"/>
              <w:left w:val="single" w:sz="1" w:space="0" w:color="CCCCCC"/>
              <w:bottom w:val="single" w:sz="1" w:space="0" w:color="CCCCCC"/>
              <w:right w:val="single" w:sz="1" w:space="0" w:color="CCCCCC"/>
            </w:tcBorders>
            <w:shd w:val="clear" w:color="auto" w:fill="F2F3F4"/>
            <w:tcMar>
              <w:top w:w="80" w:type="dxa"/>
              <w:left w:w="120" w:type="dxa"/>
              <w:bottom w:w="80" w:type="dxa"/>
              <w:right w:w="120" w:type="dxa"/>
            </w:tcMar>
          </w:tcPr>
          <w:p w14:paraId="78575A00" w14:textId="77777777" w:rsidR="008A07CA" w:rsidRDefault="00000000">
            <w:r>
              <w:rPr>
                <w:color w:val="000000"/>
              </w:rPr>
              <w:t>Numeric</w:t>
            </w:r>
          </w:p>
        </w:tc>
        <w:tc>
          <w:tcPr>
            <w:tcW w:w="1560" w:type="dxa"/>
            <w:tcBorders>
              <w:top w:val="single" w:sz="1" w:space="0" w:color="CCCCCC"/>
              <w:left w:val="single" w:sz="1" w:space="0" w:color="CCCCCC"/>
              <w:bottom w:val="single" w:sz="1" w:space="0" w:color="CCCCCC"/>
              <w:right w:val="single" w:sz="1" w:space="0" w:color="CCCCCC"/>
            </w:tcBorders>
            <w:shd w:val="clear" w:color="auto" w:fill="F2F3F4"/>
            <w:tcMar>
              <w:top w:w="80" w:type="dxa"/>
              <w:left w:w="120" w:type="dxa"/>
              <w:bottom w:w="80" w:type="dxa"/>
              <w:right w:w="120" w:type="dxa"/>
            </w:tcMar>
          </w:tcPr>
          <w:p w14:paraId="4A24B127" w14:textId="77777777" w:rsidR="008A07CA" w:rsidRDefault="00000000">
            <w:r>
              <w:rPr>
                <w:color w:val="000000"/>
              </w:rPr>
              <w:t>70 – 287 mg/dL</w:t>
            </w:r>
          </w:p>
        </w:tc>
        <w:tc>
          <w:tcPr>
            <w:tcW w:w="4600" w:type="dxa"/>
            <w:tcBorders>
              <w:top w:val="single" w:sz="1" w:space="0" w:color="CCCCCC"/>
              <w:left w:val="single" w:sz="1" w:space="0" w:color="CCCCCC"/>
              <w:bottom w:val="single" w:sz="1" w:space="0" w:color="CCCCCC"/>
              <w:right w:val="single" w:sz="1" w:space="0" w:color="CCCCCC"/>
            </w:tcBorders>
            <w:shd w:val="clear" w:color="auto" w:fill="F2F3F4"/>
            <w:tcMar>
              <w:top w:w="80" w:type="dxa"/>
              <w:left w:w="120" w:type="dxa"/>
              <w:bottom w:w="80" w:type="dxa"/>
              <w:right w:w="120" w:type="dxa"/>
            </w:tcMar>
          </w:tcPr>
          <w:p w14:paraId="7CAD0872" w14:textId="77777777" w:rsidR="008A07CA" w:rsidRDefault="00000000">
            <w:r>
              <w:rPr>
                <w:color w:val="000000"/>
              </w:rPr>
              <w:t>Complements fasting glucose. Postprandial spikes are often elevated before fasting glucose becomes abnormal, providing early detection value.</w:t>
            </w:r>
          </w:p>
        </w:tc>
      </w:tr>
      <w:tr w:rsidR="008A07CA" w14:paraId="102A22E8" w14:textId="77777777">
        <w:tc>
          <w:tcPr>
            <w:tcW w:w="21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5135DAC" w14:textId="77777777" w:rsidR="008A07CA" w:rsidRDefault="00000000">
            <w:proofErr w:type="spellStart"/>
            <w:r>
              <w:rPr>
                <w:color w:val="000000"/>
              </w:rPr>
              <w:t>insulin_level</w:t>
            </w:r>
            <w:proofErr w:type="spellEnd"/>
          </w:p>
        </w:tc>
        <w:tc>
          <w:tcPr>
            <w:tcW w:w="11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2FD4030" w14:textId="77777777" w:rsidR="008A07CA" w:rsidRDefault="00000000">
            <w:r>
              <w:rPr>
                <w:color w:val="000000"/>
              </w:rPr>
              <w:t>Numeric</w:t>
            </w:r>
          </w:p>
        </w:tc>
        <w:tc>
          <w:tcPr>
            <w:tcW w:w="1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8944DD3" w14:textId="77777777" w:rsidR="008A07CA" w:rsidRDefault="00000000">
            <w:r>
              <w:rPr>
                <w:color w:val="000000"/>
              </w:rPr>
              <w:t xml:space="preserve">2 – 32 </w:t>
            </w:r>
            <w:proofErr w:type="spellStart"/>
            <w:r>
              <w:rPr>
                <w:color w:val="000000"/>
              </w:rPr>
              <w:t>uU</w:t>
            </w:r>
            <w:proofErr w:type="spellEnd"/>
            <w:r>
              <w:rPr>
                <w:color w:val="000000"/>
              </w:rPr>
              <w:t>/mL</w:t>
            </w:r>
          </w:p>
        </w:tc>
        <w:tc>
          <w:tcPr>
            <w:tcW w:w="4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C7A7011" w14:textId="77777777" w:rsidR="008A07CA" w:rsidRDefault="00000000">
            <w:r>
              <w:rPr>
                <w:color w:val="000000"/>
              </w:rPr>
              <w:t xml:space="preserve">Critical for stage differentiation: high insulin = T2D (resistance); low/absent = T1D (beta-cell failure). Normal fasting: 2-25 </w:t>
            </w:r>
            <w:proofErr w:type="spellStart"/>
            <w:r>
              <w:rPr>
                <w:color w:val="000000"/>
              </w:rPr>
              <w:t>uU</w:t>
            </w:r>
            <w:proofErr w:type="spellEnd"/>
            <w:r>
              <w:rPr>
                <w:color w:val="000000"/>
              </w:rPr>
              <w:t>/</w:t>
            </w:r>
            <w:proofErr w:type="spellStart"/>
            <w:r>
              <w:rPr>
                <w:color w:val="000000"/>
              </w:rPr>
              <w:t>mL.</w:t>
            </w:r>
            <w:proofErr w:type="spellEnd"/>
          </w:p>
        </w:tc>
      </w:tr>
      <w:tr w:rsidR="008A07CA" w14:paraId="5BEA3A9D" w14:textId="77777777">
        <w:tc>
          <w:tcPr>
            <w:tcW w:w="2100" w:type="dxa"/>
            <w:tcBorders>
              <w:top w:val="single" w:sz="1" w:space="0" w:color="CCCCCC"/>
              <w:left w:val="single" w:sz="1" w:space="0" w:color="CCCCCC"/>
              <w:bottom w:val="single" w:sz="1" w:space="0" w:color="CCCCCC"/>
              <w:right w:val="single" w:sz="1" w:space="0" w:color="CCCCCC"/>
            </w:tcBorders>
            <w:shd w:val="clear" w:color="auto" w:fill="F2F3F4"/>
            <w:tcMar>
              <w:top w:w="80" w:type="dxa"/>
              <w:left w:w="120" w:type="dxa"/>
              <w:bottom w:w="80" w:type="dxa"/>
              <w:right w:w="120" w:type="dxa"/>
            </w:tcMar>
          </w:tcPr>
          <w:p w14:paraId="3B89D2E2" w14:textId="77777777" w:rsidR="008A07CA" w:rsidRDefault="00000000">
            <w:r>
              <w:rPr>
                <w:color w:val="000000"/>
              </w:rPr>
              <w:t>hba1c</w:t>
            </w:r>
          </w:p>
        </w:tc>
        <w:tc>
          <w:tcPr>
            <w:tcW w:w="1100" w:type="dxa"/>
            <w:tcBorders>
              <w:top w:val="single" w:sz="1" w:space="0" w:color="CCCCCC"/>
              <w:left w:val="single" w:sz="1" w:space="0" w:color="CCCCCC"/>
              <w:bottom w:val="single" w:sz="1" w:space="0" w:color="CCCCCC"/>
              <w:right w:val="single" w:sz="1" w:space="0" w:color="CCCCCC"/>
            </w:tcBorders>
            <w:shd w:val="clear" w:color="auto" w:fill="F2F3F4"/>
            <w:tcMar>
              <w:top w:w="80" w:type="dxa"/>
              <w:left w:w="120" w:type="dxa"/>
              <w:bottom w:w="80" w:type="dxa"/>
              <w:right w:w="120" w:type="dxa"/>
            </w:tcMar>
          </w:tcPr>
          <w:p w14:paraId="316BEF36" w14:textId="77777777" w:rsidR="008A07CA" w:rsidRDefault="00000000">
            <w:r>
              <w:rPr>
                <w:color w:val="000000"/>
              </w:rPr>
              <w:t>Numeric</w:t>
            </w:r>
          </w:p>
        </w:tc>
        <w:tc>
          <w:tcPr>
            <w:tcW w:w="1560" w:type="dxa"/>
            <w:tcBorders>
              <w:top w:val="single" w:sz="1" w:space="0" w:color="CCCCCC"/>
              <w:left w:val="single" w:sz="1" w:space="0" w:color="CCCCCC"/>
              <w:bottom w:val="single" w:sz="1" w:space="0" w:color="CCCCCC"/>
              <w:right w:val="single" w:sz="1" w:space="0" w:color="CCCCCC"/>
            </w:tcBorders>
            <w:shd w:val="clear" w:color="auto" w:fill="F2F3F4"/>
            <w:tcMar>
              <w:top w:w="80" w:type="dxa"/>
              <w:left w:w="120" w:type="dxa"/>
              <w:bottom w:w="80" w:type="dxa"/>
              <w:right w:w="120" w:type="dxa"/>
            </w:tcMar>
          </w:tcPr>
          <w:p w14:paraId="14C4AC8F" w14:textId="77777777" w:rsidR="008A07CA" w:rsidRDefault="00000000">
            <w:r>
              <w:rPr>
                <w:color w:val="000000"/>
              </w:rPr>
              <w:t>4.0 – 9.8%</w:t>
            </w:r>
          </w:p>
        </w:tc>
        <w:tc>
          <w:tcPr>
            <w:tcW w:w="4600" w:type="dxa"/>
            <w:tcBorders>
              <w:top w:val="single" w:sz="1" w:space="0" w:color="CCCCCC"/>
              <w:left w:val="single" w:sz="1" w:space="0" w:color="CCCCCC"/>
              <w:bottom w:val="single" w:sz="1" w:space="0" w:color="CCCCCC"/>
              <w:right w:val="single" w:sz="1" w:space="0" w:color="CCCCCC"/>
            </w:tcBorders>
            <w:shd w:val="clear" w:color="auto" w:fill="F2F3F4"/>
            <w:tcMar>
              <w:top w:w="80" w:type="dxa"/>
              <w:left w:w="120" w:type="dxa"/>
              <w:bottom w:w="80" w:type="dxa"/>
              <w:right w:w="120" w:type="dxa"/>
            </w:tcMar>
          </w:tcPr>
          <w:p w14:paraId="581C976E" w14:textId="77777777" w:rsidR="008A07CA" w:rsidRDefault="00000000">
            <w:r>
              <w:rPr>
                <w:color w:val="000000"/>
              </w:rPr>
              <w:t>Gold-standard diagnostic marker. Expected to be the strongest SHAP feature. Engineered band added for interpretability.</w:t>
            </w:r>
          </w:p>
        </w:tc>
      </w:tr>
      <w:tr w:rsidR="008A07CA" w14:paraId="35ABEB89" w14:textId="77777777">
        <w:tc>
          <w:tcPr>
            <w:tcW w:w="21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3D78934" w14:textId="77777777" w:rsidR="008A07CA" w:rsidRDefault="00000000">
            <w:proofErr w:type="spellStart"/>
            <w:r>
              <w:rPr>
                <w:color w:val="000000"/>
              </w:rPr>
              <w:t>diabetes_risk_score</w:t>
            </w:r>
            <w:proofErr w:type="spellEnd"/>
          </w:p>
        </w:tc>
        <w:tc>
          <w:tcPr>
            <w:tcW w:w="11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EB76682" w14:textId="77777777" w:rsidR="008A07CA" w:rsidRDefault="00000000">
            <w:r>
              <w:rPr>
                <w:color w:val="000000"/>
              </w:rPr>
              <w:t>Numeric</w:t>
            </w:r>
          </w:p>
        </w:tc>
        <w:tc>
          <w:tcPr>
            <w:tcW w:w="1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CE4622B" w14:textId="77777777" w:rsidR="008A07CA" w:rsidRDefault="00000000">
            <w:r>
              <w:rPr>
                <w:color w:val="000000"/>
              </w:rPr>
              <w:t>2.7 – 67.2</w:t>
            </w:r>
          </w:p>
        </w:tc>
        <w:tc>
          <w:tcPr>
            <w:tcW w:w="4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096D667" w14:textId="77777777" w:rsidR="008A07CA" w:rsidRDefault="00000000">
            <w:r>
              <w:rPr>
                <w:color w:val="000000"/>
              </w:rPr>
              <w:t xml:space="preserve">Composite risk index. Likely from FINDRISC or ADA calculator. Highly predictive but may overlap </w:t>
            </w:r>
            <w:r>
              <w:rPr>
                <w:color w:val="000000"/>
              </w:rPr>
              <w:lastRenderedPageBreak/>
              <w:t>with target — monitor for data leakage in SHAP.</w:t>
            </w:r>
          </w:p>
        </w:tc>
      </w:tr>
      <w:tr w:rsidR="008A07CA" w14:paraId="689E60BF" w14:textId="77777777">
        <w:tc>
          <w:tcPr>
            <w:tcW w:w="2100" w:type="dxa"/>
            <w:tcBorders>
              <w:top w:val="single" w:sz="1" w:space="0" w:color="CCCCCC"/>
              <w:left w:val="single" w:sz="1" w:space="0" w:color="CCCCCC"/>
              <w:bottom w:val="single" w:sz="1" w:space="0" w:color="CCCCCC"/>
              <w:right w:val="single" w:sz="1" w:space="0" w:color="CCCCCC"/>
            </w:tcBorders>
            <w:shd w:val="clear" w:color="auto" w:fill="1B3A6B"/>
            <w:tcMar>
              <w:top w:w="80" w:type="dxa"/>
              <w:left w:w="120" w:type="dxa"/>
              <w:bottom w:w="80" w:type="dxa"/>
              <w:right w:w="120" w:type="dxa"/>
            </w:tcMar>
          </w:tcPr>
          <w:p w14:paraId="1F77B081" w14:textId="77777777" w:rsidR="008A07CA" w:rsidRDefault="00000000">
            <w:proofErr w:type="spellStart"/>
            <w:r>
              <w:rPr>
                <w:b/>
                <w:bCs/>
                <w:color w:val="FFFFFF"/>
              </w:rPr>
              <w:lastRenderedPageBreak/>
              <w:t>diabetes_stage</w:t>
            </w:r>
            <w:proofErr w:type="spellEnd"/>
            <w:r>
              <w:rPr>
                <w:b/>
                <w:bCs/>
                <w:color w:val="FFFFFF"/>
              </w:rPr>
              <w:t xml:space="preserve"> (TARGET)</w:t>
            </w:r>
          </w:p>
        </w:tc>
        <w:tc>
          <w:tcPr>
            <w:tcW w:w="1100" w:type="dxa"/>
            <w:tcBorders>
              <w:top w:val="single" w:sz="1" w:space="0" w:color="CCCCCC"/>
              <w:left w:val="single" w:sz="1" w:space="0" w:color="CCCCCC"/>
              <w:bottom w:val="single" w:sz="1" w:space="0" w:color="CCCCCC"/>
              <w:right w:val="single" w:sz="1" w:space="0" w:color="CCCCCC"/>
            </w:tcBorders>
            <w:shd w:val="clear" w:color="auto" w:fill="1B3A6B"/>
            <w:tcMar>
              <w:top w:w="80" w:type="dxa"/>
              <w:left w:w="120" w:type="dxa"/>
              <w:bottom w:w="80" w:type="dxa"/>
              <w:right w:w="120" w:type="dxa"/>
            </w:tcMar>
          </w:tcPr>
          <w:p w14:paraId="4DBAF99D" w14:textId="77777777" w:rsidR="008A07CA" w:rsidRDefault="00000000">
            <w:r>
              <w:rPr>
                <w:color w:val="FFFFFF"/>
              </w:rPr>
              <w:t>Nominal</w:t>
            </w:r>
          </w:p>
        </w:tc>
        <w:tc>
          <w:tcPr>
            <w:tcW w:w="1560" w:type="dxa"/>
            <w:tcBorders>
              <w:top w:val="single" w:sz="1" w:space="0" w:color="CCCCCC"/>
              <w:left w:val="single" w:sz="1" w:space="0" w:color="CCCCCC"/>
              <w:bottom w:val="single" w:sz="1" w:space="0" w:color="CCCCCC"/>
              <w:right w:val="single" w:sz="1" w:space="0" w:color="CCCCCC"/>
            </w:tcBorders>
            <w:shd w:val="clear" w:color="auto" w:fill="1B3A6B"/>
            <w:tcMar>
              <w:top w:w="80" w:type="dxa"/>
              <w:left w:w="120" w:type="dxa"/>
              <w:bottom w:w="80" w:type="dxa"/>
              <w:right w:w="120" w:type="dxa"/>
            </w:tcMar>
          </w:tcPr>
          <w:p w14:paraId="1906D115" w14:textId="77777777" w:rsidR="008A07CA" w:rsidRDefault="00000000">
            <w:r>
              <w:rPr>
                <w:color w:val="FFFFFF"/>
              </w:rPr>
              <w:t>5 classes</w:t>
            </w:r>
          </w:p>
        </w:tc>
        <w:tc>
          <w:tcPr>
            <w:tcW w:w="4600" w:type="dxa"/>
            <w:tcBorders>
              <w:top w:val="single" w:sz="1" w:space="0" w:color="CCCCCC"/>
              <w:left w:val="single" w:sz="1" w:space="0" w:color="CCCCCC"/>
              <w:bottom w:val="single" w:sz="1" w:space="0" w:color="CCCCCC"/>
              <w:right w:val="single" w:sz="1" w:space="0" w:color="CCCCCC"/>
            </w:tcBorders>
            <w:shd w:val="clear" w:color="auto" w:fill="1B3A6B"/>
            <w:tcMar>
              <w:top w:w="80" w:type="dxa"/>
              <w:left w:w="120" w:type="dxa"/>
              <w:bottom w:w="80" w:type="dxa"/>
              <w:right w:w="120" w:type="dxa"/>
            </w:tcMar>
          </w:tcPr>
          <w:p w14:paraId="358FCC53" w14:textId="77777777" w:rsidR="008A07CA" w:rsidRDefault="00000000">
            <w:r>
              <w:rPr>
                <w:color w:val="FFFFFF"/>
              </w:rPr>
              <w:t>Multi-class classification target. Encoded 0-4: No Diabetes, Pre-Diabetes, Type 1, Type 2, Gestational.</w:t>
            </w:r>
          </w:p>
        </w:tc>
      </w:tr>
      <w:tr w:rsidR="008A07CA" w14:paraId="0F949DB5" w14:textId="77777777">
        <w:tc>
          <w:tcPr>
            <w:tcW w:w="2100" w:type="dxa"/>
            <w:tcBorders>
              <w:top w:val="single" w:sz="1" w:space="0" w:color="CCCCCC"/>
              <w:left w:val="single" w:sz="1" w:space="0" w:color="CCCCCC"/>
              <w:bottom w:val="single" w:sz="1" w:space="0" w:color="CCCCCC"/>
              <w:right w:val="single" w:sz="1" w:space="0" w:color="CCCCCC"/>
            </w:tcBorders>
            <w:shd w:val="clear" w:color="auto" w:fill="FDECEA"/>
            <w:tcMar>
              <w:top w:w="80" w:type="dxa"/>
              <w:left w:w="120" w:type="dxa"/>
              <w:bottom w:w="80" w:type="dxa"/>
              <w:right w:w="120" w:type="dxa"/>
            </w:tcMar>
          </w:tcPr>
          <w:p w14:paraId="1EF25C00" w14:textId="77777777" w:rsidR="008A07CA" w:rsidRDefault="00000000">
            <w:proofErr w:type="spellStart"/>
            <w:r>
              <w:rPr>
                <w:b/>
                <w:bCs/>
                <w:color w:val="000000"/>
              </w:rPr>
              <w:t>diagnosed_diabetes</w:t>
            </w:r>
            <w:proofErr w:type="spellEnd"/>
            <w:r>
              <w:rPr>
                <w:b/>
                <w:bCs/>
                <w:color w:val="000000"/>
              </w:rPr>
              <w:t xml:space="preserve"> (DROP)</w:t>
            </w:r>
          </w:p>
        </w:tc>
        <w:tc>
          <w:tcPr>
            <w:tcW w:w="1100" w:type="dxa"/>
            <w:tcBorders>
              <w:top w:val="single" w:sz="1" w:space="0" w:color="CCCCCC"/>
              <w:left w:val="single" w:sz="1" w:space="0" w:color="CCCCCC"/>
              <w:bottom w:val="single" w:sz="1" w:space="0" w:color="CCCCCC"/>
              <w:right w:val="single" w:sz="1" w:space="0" w:color="CCCCCC"/>
            </w:tcBorders>
            <w:shd w:val="clear" w:color="auto" w:fill="FDECEA"/>
            <w:tcMar>
              <w:top w:w="80" w:type="dxa"/>
              <w:left w:w="120" w:type="dxa"/>
              <w:bottom w:w="80" w:type="dxa"/>
              <w:right w:w="120" w:type="dxa"/>
            </w:tcMar>
          </w:tcPr>
          <w:p w14:paraId="52C032F5" w14:textId="77777777" w:rsidR="008A07CA" w:rsidRDefault="00000000">
            <w:r>
              <w:rPr>
                <w:color w:val="000000"/>
              </w:rPr>
              <w:t>Binary</w:t>
            </w:r>
          </w:p>
        </w:tc>
        <w:tc>
          <w:tcPr>
            <w:tcW w:w="1560" w:type="dxa"/>
            <w:tcBorders>
              <w:top w:val="single" w:sz="1" w:space="0" w:color="CCCCCC"/>
              <w:left w:val="single" w:sz="1" w:space="0" w:color="CCCCCC"/>
              <w:bottom w:val="single" w:sz="1" w:space="0" w:color="CCCCCC"/>
              <w:right w:val="single" w:sz="1" w:space="0" w:color="CCCCCC"/>
            </w:tcBorders>
            <w:shd w:val="clear" w:color="auto" w:fill="FDECEA"/>
            <w:tcMar>
              <w:top w:w="80" w:type="dxa"/>
              <w:left w:w="120" w:type="dxa"/>
              <w:bottom w:w="80" w:type="dxa"/>
              <w:right w:w="120" w:type="dxa"/>
            </w:tcMar>
          </w:tcPr>
          <w:p w14:paraId="326FBB5E" w14:textId="77777777" w:rsidR="008A07CA" w:rsidRDefault="00000000">
            <w:r>
              <w:rPr>
                <w:color w:val="000000"/>
              </w:rPr>
              <w:t>0 / 1</w:t>
            </w:r>
          </w:p>
        </w:tc>
        <w:tc>
          <w:tcPr>
            <w:tcW w:w="4600" w:type="dxa"/>
            <w:tcBorders>
              <w:top w:val="single" w:sz="1" w:space="0" w:color="CCCCCC"/>
              <w:left w:val="single" w:sz="1" w:space="0" w:color="CCCCCC"/>
              <w:bottom w:val="single" w:sz="1" w:space="0" w:color="CCCCCC"/>
              <w:right w:val="single" w:sz="1" w:space="0" w:color="CCCCCC"/>
            </w:tcBorders>
            <w:shd w:val="clear" w:color="auto" w:fill="FDECEA"/>
            <w:tcMar>
              <w:top w:w="80" w:type="dxa"/>
              <w:left w:w="120" w:type="dxa"/>
              <w:bottom w:w="80" w:type="dxa"/>
              <w:right w:w="120" w:type="dxa"/>
            </w:tcMar>
          </w:tcPr>
          <w:p w14:paraId="0373E13D" w14:textId="77777777" w:rsidR="008A07CA" w:rsidRDefault="00000000">
            <w:r>
              <w:rPr>
                <w:color w:val="000000"/>
              </w:rPr>
              <w:t xml:space="preserve">Binary re-encoding of </w:t>
            </w:r>
            <w:proofErr w:type="spellStart"/>
            <w:r>
              <w:rPr>
                <w:color w:val="000000"/>
              </w:rPr>
              <w:t>diabetes_stage</w:t>
            </w:r>
            <w:proofErr w:type="spellEnd"/>
            <w:r>
              <w:rPr>
                <w:color w:val="000000"/>
              </w:rPr>
              <w:t>. Causes target leakage if used as a feature. Must be dropped before modelling.</w:t>
            </w:r>
          </w:p>
        </w:tc>
      </w:tr>
    </w:tbl>
    <w:p w14:paraId="5372D33D" w14:textId="77777777" w:rsidR="008A07CA" w:rsidRDefault="00000000">
      <w:r>
        <w:br/>
      </w:r>
    </w:p>
    <w:p w14:paraId="771EA49F" w14:textId="77777777" w:rsidR="008A07CA" w:rsidRDefault="00000000">
      <w:pPr>
        <w:pStyle w:val="Heading1"/>
        <w:pBdr>
          <w:bottom w:val="single" w:sz="6" w:space="1" w:color="2E75B6"/>
        </w:pBdr>
      </w:pPr>
      <w:r>
        <w:t>6. Class Imbalance Analysis &amp; Modelling Implications</w:t>
      </w:r>
    </w:p>
    <w:p w14:paraId="6D9E6351" w14:textId="77777777" w:rsidR="008A07CA" w:rsidRDefault="00000000">
      <w:pPr>
        <w:spacing w:before="80" w:after="100"/>
      </w:pPr>
      <w:r>
        <w:rPr>
          <w:color w:val="000000"/>
        </w:rPr>
        <w:t>Understanding the class distribution is critical before selecting models and evaluation metrics. A classifier that predicts Type 2 for every patient would achieve 59.8% accuracy while being completely useless clinically.</w:t>
      </w:r>
    </w:p>
    <w:p w14:paraId="7055087E" w14:textId="77777777" w:rsidR="008A07CA" w:rsidRDefault="008A07CA">
      <w:pPr>
        <w:spacing w:before="80"/>
      </w:pPr>
    </w:p>
    <w:p w14:paraId="0933C389" w14:textId="77777777" w:rsidR="008A07CA" w:rsidRDefault="00000000">
      <w:pPr>
        <w:pStyle w:val="Heading2"/>
      </w:pPr>
      <w:r>
        <w:t>6.1 Distribution Summary</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340"/>
        <w:gridCol w:w="1560"/>
        <w:gridCol w:w="1560"/>
        <w:gridCol w:w="1560"/>
        <w:gridCol w:w="2340"/>
      </w:tblGrid>
      <w:tr w:rsidR="008A07CA" w14:paraId="3C525719" w14:textId="77777777">
        <w:tc>
          <w:tcPr>
            <w:tcW w:w="2340" w:type="dxa"/>
            <w:tcBorders>
              <w:top w:val="single" w:sz="1" w:space="0" w:color="CCCCCC"/>
              <w:left w:val="single" w:sz="1" w:space="0" w:color="CCCCCC"/>
              <w:bottom w:val="single" w:sz="1" w:space="0" w:color="CCCCCC"/>
              <w:right w:val="single" w:sz="1" w:space="0" w:color="CCCCCC"/>
            </w:tcBorders>
            <w:shd w:val="clear" w:color="auto" w:fill="1B3A6B"/>
            <w:tcMar>
              <w:top w:w="80" w:type="dxa"/>
              <w:left w:w="120" w:type="dxa"/>
              <w:bottom w:w="80" w:type="dxa"/>
              <w:right w:w="120" w:type="dxa"/>
            </w:tcMar>
          </w:tcPr>
          <w:p w14:paraId="21E118B1" w14:textId="77777777" w:rsidR="008A07CA" w:rsidRDefault="00000000">
            <w:r>
              <w:rPr>
                <w:b/>
                <w:bCs/>
                <w:color w:val="FFFFFF"/>
              </w:rPr>
              <w:t>Stage</w:t>
            </w:r>
          </w:p>
        </w:tc>
        <w:tc>
          <w:tcPr>
            <w:tcW w:w="1560" w:type="dxa"/>
            <w:tcBorders>
              <w:top w:val="single" w:sz="1" w:space="0" w:color="CCCCCC"/>
              <w:left w:val="single" w:sz="1" w:space="0" w:color="CCCCCC"/>
              <w:bottom w:val="single" w:sz="1" w:space="0" w:color="CCCCCC"/>
              <w:right w:val="single" w:sz="1" w:space="0" w:color="CCCCCC"/>
            </w:tcBorders>
            <w:shd w:val="clear" w:color="auto" w:fill="1B3A6B"/>
            <w:tcMar>
              <w:top w:w="80" w:type="dxa"/>
              <w:left w:w="120" w:type="dxa"/>
              <w:bottom w:w="80" w:type="dxa"/>
              <w:right w:w="120" w:type="dxa"/>
            </w:tcMar>
          </w:tcPr>
          <w:p w14:paraId="537D0170" w14:textId="77777777" w:rsidR="008A07CA" w:rsidRDefault="00000000">
            <w:r>
              <w:rPr>
                <w:b/>
                <w:bCs/>
                <w:color w:val="FFFFFF"/>
              </w:rPr>
              <w:t>Count</w:t>
            </w:r>
          </w:p>
        </w:tc>
        <w:tc>
          <w:tcPr>
            <w:tcW w:w="1560" w:type="dxa"/>
            <w:tcBorders>
              <w:top w:val="single" w:sz="1" w:space="0" w:color="CCCCCC"/>
              <w:left w:val="single" w:sz="1" w:space="0" w:color="CCCCCC"/>
              <w:bottom w:val="single" w:sz="1" w:space="0" w:color="CCCCCC"/>
              <w:right w:val="single" w:sz="1" w:space="0" w:color="CCCCCC"/>
            </w:tcBorders>
            <w:shd w:val="clear" w:color="auto" w:fill="1B3A6B"/>
            <w:tcMar>
              <w:top w:w="80" w:type="dxa"/>
              <w:left w:w="120" w:type="dxa"/>
              <w:bottom w:w="80" w:type="dxa"/>
              <w:right w:w="120" w:type="dxa"/>
            </w:tcMar>
          </w:tcPr>
          <w:p w14:paraId="7DACF5EF" w14:textId="77777777" w:rsidR="008A07CA" w:rsidRDefault="00000000">
            <w:r>
              <w:rPr>
                <w:b/>
                <w:bCs/>
                <w:color w:val="FFFFFF"/>
              </w:rPr>
              <w:t>Percentage</w:t>
            </w:r>
          </w:p>
        </w:tc>
        <w:tc>
          <w:tcPr>
            <w:tcW w:w="1560" w:type="dxa"/>
            <w:tcBorders>
              <w:top w:val="single" w:sz="1" w:space="0" w:color="CCCCCC"/>
              <w:left w:val="single" w:sz="1" w:space="0" w:color="CCCCCC"/>
              <w:bottom w:val="single" w:sz="1" w:space="0" w:color="CCCCCC"/>
              <w:right w:val="single" w:sz="1" w:space="0" w:color="CCCCCC"/>
            </w:tcBorders>
            <w:shd w:val="clear" w:color="auto" w:fill="1B3A6B"/>
            <w:tcMar>
              <w:top w:w="80" w:type="dxa"/>
              <w:left w:w="120" w:type="dxa"/>
              <w:bottom w:w="80" w:type="dxa"/>
              <w:right w:w="120" w:type="dxa"/>
            </w:tcMar>
          </w:tcPr>
          <w:p w14:paraId="6F63C044" w14:textId="77777777" w:rsidR="008A07CA" w:rsidRDefault="00000000">
            <w:r>
              <w:rPr>
                <w:b/>
                <w:bCs/>
                <w:color w:val="FFFFFF"/>
              </w:rPr>
              <w:t>Imbalance Ratio</w:t>
            </w:r>
          </w:p>
        </w:tc>
        <w:tc>
          <w:tcPr>
            <w:tcW w:w="2340" w:type="dxa"/>
            <w:tcBorders>
              <w:top w:val="single" w:sz="1" w:space="0" w:color="CCCCCC"/>
              <w:left w:val="single" w:sz="1" w:space="0" w:color="CCCCCC"/>
              <w:bottom w:val="single" w:sz="1" w:space="0" w:color="CCCCCC"/>
              <w:right w:val="single" w:sz="1" w:space="0" w:color="CCCCCC"/>
            </w:tcBorders>
            <w:shd w:val="clear" w:color="auto" w:fill="1B3A6B"/>
            <w:tcMar>
              <w:top w:w="80" w:type="dxa"/>
              <w:left w:w="120" w:type="dxa"/>
              <w:bottom w:w="80" w:type="dxa"/>
              <w:right w:w="120" w:type="dxa"/>
            </w:tcMar>
          </w:tcPr>
          <w:p w14:paraId="60D3E703" w14:textId="77777777" w:rsidR="008A07CA" w:rsidRDefault="00000000">
            <w:r>
              <w:rPr>
                <w:b/>
                <w:bCs/>
                <w:color w:val="FFFFFF"/>
              </w:rPr>
              <w:t>Clinical Priority</w:t>
            </w:r>
          </w:p>
        </w:tc>
      </w:tr>
      <w:tr w:rsidR="008A07CA" w14:paraId="15AA1EE5" w14:textId="77777777">
        <w:tc>
          <w:tcPr>
            <w:tcW w:w="2340" w:type="dxa"/>
            <w:tcBorders>
              <w:top w:val="single" w:sz="1" w:space="0" w:color="CCCCCC"/>
              <w:left w:val="single" w:sz="1" w:space="0" w:color="CCCCCC"/>
              <w:bottom w:val="single" w:sz="1" w:space="0" w:color="CCCCCC"/>
              <w:right w:val="single" w:sz="1" w:space="0" w:color="CCCCCC"/>
            </w:tcBorders>
            <w:shd w:val="clear" w:color="auto" w:fill="E9F7EF"/>
            <w:tcMar>
              <w:top w:w="80" w:type="dxa"/>
              <w:left w:w="120" w:type="dxa"/>
              <w:bottom w:w="80" w:type="dxa"/>
              <w:right w:w="120" w:type="dxa"/>
            </w:tcMar>
          </w:tcPr>
          <w:p w14:paraId="3DE44155" w14:textId="77777777" w:rsidR="008A07CA" w:rsidRDefault="00000000">
            <w:r>
              <w:rPr>
                <w:color w:val="000000"/>
              </w:rPr>
              <w:t>No Diabetes</w:t>
            </w:r>
          </w:p>
        </w:tc>
        <w:tc>
          <w:tcPr>
            <w:tcW w:w="1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8AB3F41" w14:textId="77777777" w:rsidR="008A07CA" w:rsidRDefault="00000000">
            <w:r>
              <w:rPr>
                <w:color w:val="000000"/>
              </w:rPr>
              <w:t>7,737</w:t>
            </w:r>
          </w:p>
        </w:tc>
        <w:tc>
          <w:tcPr>
            <w:tcW w:w="1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CA69799" w14:textId="77777777" w:rsidR="008A07CA" w:rsidRDefault="00000000">
            <w:r>
              <w:rPr>
                <w:color w:val="000000"/>
              </w:rPr>
              <w:t>8.0%</w:t>
            </w:r>
          </w:p>
        </w:tc>
        <w:tc>
          <w:tcPr>
            <w:tcW w:w="1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E12B380" w14:textId="77777777" w:rsidR="008A07CA" w:rsidRDefault="00000000">
            <w:r>
              <w:rPr>
                <w:color w:val="000000"/>
              </w:rPr>
              <w:t>7.5x minority</w:t>
            </w:r>
          </w:p>
        </w:tc>
        <w:tc>
          <w:tcPr>
            <w:tcW w:w="23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E7D3D6C" w14:textId="77777777" w:rsidR="008A07CA" w:rsidRDefault="00000000">
            <w:r>
              <w:rPr>
                <w:color w:val="000000"/>
              </w:rPr>
              <w:t>Reference class; low intervention need</w:t>
            </w:r>
          </w:p>
        </w:tc>
      </w:tr>
      <w:tr w:rsidR="008A07CA" w14:paraId="25403490" w14:textId="77777777">
        <w:tc>
          <w:tcPr>
            <w:tcW w:w="2340" w:type="dxa"/>
            <w:tcBorders>
              <w:top w:val="single" w:sz="1" w:space="0" w:color="CCCCCC"/>
              <w:left w:val="single" w:sz="1" w:space="0" w:color="CCCCCC"/>
              <w:bottom w:val="single" w:sz="1" w:space="0" w:color="CCCCCC"/>
              <w:right w:val="single" w:sz="1" w:space="0" w:color="CCCCCC"/>
            </w:tcBorders>
            <w:shd w:val="clear" w:color="auto" w:fill="FFF3CD"/>
            <w:tcMar>
              <w:top w:w="80" w:type="dxa"/>
              <w:left w:w="120" w:type="dxa"/>
              <w:bottom w:w="80" w:type="dxa"/>
              <w:right w:w="120" w:type="dxa"/>
            </w:tcMar>
          </w:tcPr>
          <w:p w14:paraId="3A6FF5AF" w14:textId="77777777" w:rsidR="008A07CA" w:rsidRDefault="00000000">
            <w:r>
              <w:rPr>
                <w:color w:val="000000"/>
              </w:rPr>
              <w:t>Pre-Diabetes</w:t>
            </w:r>
          </w:p>
        </w:tc>
        <w:tc>
          <w:tcPr>
            <w:tcW w:w="1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43100C7" w14:textId="77777777" w:rsidR="008A07CA" w:rsidRDefault="00000000">
            <w:r>
              <w:rPr>
                <w:color w:val="000000"/>
              </w:rPr>
              <w:t>31,013</w:t>
            </w:r>
          </w:p>
        </w:tc>
        <w:tc>
          <w:tcPr>
            <w:tcW w:w="1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6F7DA11" w14:textId="77777777" w:rsidR="008A07CA" w:rsidRDefault="00000000">
            <w:r>
              <w:rPr>
                <w:color w:val="000000"/>
              </w:rPr>
              <w:t>31.9%</w:t>
            </w:r>
          </w:p>
        </w:tc>
        <w:tc>
          <w:tcPr>
            <w:tcW w:w="1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D7576BF" w14:textId="77777777" w:rsidR="008A07CA" w:rsidRDefault="00000000">
            <w:r>
              <w:rPr>
                <w:color w:val="000000"/>
              </w:rPr>
              <w:t>Relatively balanced</w:t>
            </w:r>
          </w:p>
        </w:tc>
        <w:tc>
          <w:tcPr>
            <w:tcW w:w="23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E595C8B" w14:textId="77777777" w:rsidR="008A07CA" w:rsidRDefault="00000000">
            <w:r>
              <w:rPr>
                <w:color w:val="000000"/>
              </w:rPr>
              <w:t>HIGHEST — reversible with intervention</w:t>
            </w:r>
          </w:p>
        </w:tc>
      </w:tr>
      <w:tr w:rsidR="008A07CA" w14:paraId="633FFCEA" w14:textId="77777777">
        <w:tc>
          <w:tcPr>
            <w:tcW w:w="2340" w:type="dxa"/>
            <w:tcBorders>
              <w:top w:val="single" w:sz="1" w:space="0" w:color="CCCCCC"/>
              <w:left w:val="single" w:sz="1" w:space="0" w:color="CCCCCC"/>
              <w:bottom w:val="single" w:sz="1" w:space="0" w:color="CCCCCC"/>
              <w:right w:val="single" w:sz="1" w:space="0" w:color="CCCCCC"/>
            </w:tcBorders>
            <w:shd w:val="clear" w:color="auto" w:fill="F4ECF7"/>
            <w:tcMar>
              <w:top w:w="80" w:type="dxa"/>
              <w:left w:w="120" w:type="dxa"/>
              <w:bottom w:w="80" w:type="dxa"/>
              <w:right w:w="120" w:type="dxa"/>
            </w:tcMar>
          </w:tcPr>
          <w:p w14:paraId="2B2D39A7" w14:textId="77777777" w:rsidR="008A07CA" w:rsidRDefault="00000000">
            <w:r>
              <w:rPr>
                <w:color w:val="000000"/>
              </w:rPr>
              <w:t>Type 1</w:t>
            </w:r>
          </w:p>
        </w:tc>
        <w:tc>
          <w:tcPr>
            <w:tcW w:w="1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1097E22" w14:textId="77777777" w:rsidR="008A07CA" w:rsidRDefault="00000000">
            <w:r>
              <w:rPr>
                <w:color w:val="000000"/>
              </w:rPr>
              <w:t>117</w:t>
            </w:r>
          </w:p>
        </w:tc>
        <w:tc>
          <w:tcPr>
            <w:tcW w:w="1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438963F" w14:textId="77777777" w:rsidR="008A07CA" w:rsidRDefault="00000000">
            <w:r>
              <w:rPr>
                <w:color w:val="000000"/>
              </w:rPr>
              <w:t>0.1%</w:t>
            </w:r>
          </w:p>
        </w:tc>
        <w:tc>
          <w:tcPr>
            <w:tcW w:w="1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9E8DC0E" w14:textId="77777777" w:rsidR="008A07CA" w:rsidRDefault="00000000">
            <w:r>
              <w:rPr>
                <w:color w:val="000000"/>
              </w:rPr>
              <w:t>497x minority</w:t>
            </w:r>
          </w:p>
        </w:tc>
        <w:tc>
          <w:tcPr>
            <w:tcW w:w="23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54F0358" w14:textId="77777777" w:rsidR="008A07CA" w:rsidRDefault="00000000">
            <w:r>
              <w:rPr>
                <w:color w:val="000000"/>
              </w:rPr>
              <w:t>Severe imbalance — consider separate model</w:t>
            </w:r>
          </w:p>
        </w:tc>
      </w:tr>
      <w:tr w:rsidR="008A07CA" w14:paraId="2B75E28D" w14:textId="77777777">
        <w:tc>
          <w:tcPr>
            <w:tcW w:w="2340" w:type="dxa"/>
            <w:tcBorders>
              <w:top w:val="single" w:sz="1" w:space="0" w:color="CCCCCC"/>
              <w:left w:val="single" w:sz="1" w:space="0" w:color="CCCCCC"/>
              <w:bottom w:val="single" w:sz="1" w:space="0" w:color="CCCCCC"/>
              <w:right w:val="single" w:sz="1" w:space="0" w:color="CCCCCC"/>
            </w:tcBorders>
            <w:shd w:val="clear" w:color="auto" w:fill="FDECEA"/>
            <w:tcMar>
              <w:top w:w="80" w:type="dxa"/>
              <w:left w:w="120" w:type="dxa"/>
              <w:bottom w:w="80" w:type="dxa"/>
              <w:right w:w="120" w:type="dxa"/>
            </w:tcMar>
          </w:tcPr>
          <w:p w14:paraId="28D694D2" w14:textId="77777777" w:rsidR="008A07CA" w:rsidRDefault="00000000">
            <w:r>
              <w:rPr>
                <w:color w:val="000000"/>
              </w:rPr>
              <w:t>Type 2</w:t>
            </w:r>
          </w:p>
        </w:tc>
        <w:tc>
          <w:tcPr>
            <w:tcW w:w="1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B1800C6" w14:textId="77777777" w:rsidR="008A07CA" w:rsidRDefault="00000000">
            <w:r>
              <w:rPr>
                <w:color w:val="000000"/>
              </w:rPr>
              <w:t>58,163</w:t>
            </w:r>
          </w:p>
        </w:tc>
        <w:tc>
          <w:tcPr>
            <w:tcW w:w="1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2E28684" w14:textId="77777777" w:rsidR="008A07CA" w:rsidRDefault="00000000">
            <w:r>
              <w:rPr>
                <w:color w:val="000000"/>
              </w:rPr>
              <w:t>59.8%</w:t>
            </w:r>
          </w:p>
        </w:tc>
        <w:tc>
          <w:tcPr>
            <w:tcW w:w="1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74F66F1" w14:textId="77777777" w:rsidR="008A07CA" w:rsidRDefault="00000000">
            <w:r>
              <w:rPr>
                <w:color w:val="000000"/>
              </w:rPr>
              <w:t>Dominant class</w:t>
            </w:r>
          </w:p>
        </w:tc>
        <w:tc>
          <w:tcPr>
            <w:tcW w:w="23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C2D2875" w14:textId="77777777" w:rsidR="008A07CA" w:rsidRDefault="00000000">
            <w:r>
              <w:rPr>
                <w:color w:val="000000"/>
              </w:rPr>
              <w:t>High — largest disease burden</w:t>
            </w:r>
          </w:p>
        </w:tc>
      </w:tr>
      <w:tr w:rsidR="008A07CA" w14:paraId="18085AC7" w14:textId="77777777">
        <w:tc>
          <w:tcPr>
            <w:tcW w:w="2340" w:type="dxa"/>
            <w:tcBorders>
              <w:top w:val="single" w:sz="1" w:space="0" w:color="CCCCCC"/>
              <w:left w:val="single" w:sz="1" w:space="0" w:color="CCCCCC"/>
              <w:bottom w:val="single" w:sz="1" w:space="0" w:color="CCCCCC"/>
              <w:right w:val="single" w:sz="1" w:space="0" w:color="CCCCCC"/>
            </w:tcBorders>
            <w:shd w:val="clear" w:color="auto" w:fill="D6E4F0"/>
            <w:tcMar>
              <w:top w:w="80" w:type="dxa"/>
              <w:left w:w="120" w:type="dxa"/>
              <w:bottom w:w="80" w:type="dxa"/>
              <w:right w:w="120" w:type="dxa"/>
            </w:tcMar>
          </w:tcPr>
          <w:p w14:paraId="64811117" w14:textId="77777777" w:rsidR="008A07CA" w:rsidRDefault="00000000">
            <w:r>
              <w:rPr>
                <w:color w:val="000000"/>
              </w:rPr>
              <w:t>Gestational</w:t>
            </w:r>
          </w:p>
        </w:tc>
        <w:tc>
          <w:tcPr>
            <w:tcW w:w="1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6797F57" w14:textId="77777777" w:rsidR="008A07CA" w:rsidRDefault="00000000">
            <w:r>
              <w:rPr>
                <w:color w:val="000000"/>
              </w:rPr>
              <w:t>267</w:t>
            </w:r>
          </w:p>
        </w:tc>
        <w:tc>
          <w:tcPr>
            <w:tcW w:w="1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E16FA3B" w14:textId="77777777" w:rsidR="008A07CA" w:rsidRDefault="00000000">
            <w:r>
              <w:rPr>
                <w:color w:val="000000"/>
              </w:rPr>
              <w:t>0.3%</w:t>
            </w:r>
          </w:p>
        </w:tc>
        <w:tc>
          <w:tcPr>
            <w:tcW w:w="1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28A8A2B" w14:textId="77777777" w:rsidR="008A07CA" w:rsidRDefault="00000000">
            <w:r>
              <w:rPr>
                <w:color w:val="000000"/>
              </w:rPr>
              <w:t>218x minority</w:t>
            </w:r>
          </w:p>
        </w:tc>
        <w:tc>
          <w:tcPr>
            <w:tcW w:w="23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7E35A34" w14:textId="77777777" w:rsidR="008A07CA" w:rsidRDefault="00000000">
            <w:r>
              <w:rPr>
                <w:color w:val="000000"/>
              </w:rPr>
              <w:t>No gender feature match — consider exclusion</w:t>
            </w:r>
          </w:p>
        </w:tc>
      </w:tr>
    </w:tbl>
    <w:p w14:paraId="138F4EA0" w14:textId="77777777" w:rsidR="008A07CA" w:rsidRDefault="008A07CA">
      <w:pPr>
        <w:spacing w:before="120"/>
      </w:pPr>
    </w:p>
    <w:p w14:paraId="7BC80ACA" w14:textId="77777777" w:rsidR="008A07CA" w:rsidRDefault="00000000">
      <w:pPr>
        <w:pStyle w:val="Heading2"/>
      </w:pPr>
      <w:r>
        <w:t>6.2 Recommended Handling Strategies</w:t>
      </w:r>
    </w:p>
    <w:p w14:paraId="4452F034" w14:textId="77777777" w:rsidR="008A07CA" w:rsidRDefault="00000000">
      <w:pPr>
        <w:spacing w:before="80" w:after="80"/>
      </w:pPr>
      <w:r>
        <w:rPr>
          <w:b/>
          <w:bCs/>
        </w:rPr>
        <w:t xml:space="preserve">Decision Tree &amp; Random Forest: </w:t>
      </w:r>
      <w:r>
        <w:t xml:space="preserve">Use </w:t>
      </w:r>
      <w:proofErr w:type="spellStart"/>
      <w:r>
        <w:t>class_weight</w:t>
      </w:r>
      <w:proofErr w:type="spellEnd"/>
      <w:r>
        <w:t>='balanced' parameter. This automatically adjusts sample weights inversely proportional to class frequency.</w:t>
      </w:r>
    </w:p>
    <w:p w14:paraId="3CD5C871" w14:textId="77777777" w:rsidR="008A07CA" w:rsidRDefault="00000000">
      <w:pPr>
        <w:spacing w:before="80" w:after="80"/>
      </w:pPr>
      <w:proofErr w:type="spellStart"/>
      <w:r>
        <w:rPr>
          <w:b/>
          <w:bCs/>
        </w:rPr>
        <w:t>XGBoost</w:t>
      </w:r>
      <w:proofErr w:type="spellEnd"/>
      <w:r>
        <w:rPr>
          <w:b/>
          <w:bCs/>
        </w:rPr>
        <w:t xml:space="preserve">: </w:t>
      </w:r>
      <w:r>
        <w:t xml:space="preserve">Use </w:t>
      </w:r>
      <w:proofErr w:type="spellStart"/>
      <w:r>
        <w:t>scale_pos_weight</w:t>
      </w:r>
      <w:proofErr w:type="spellEnd"/>
      <w:r>
        <w:t xml:space="preserve"> for binary problems, or </w:t>
      </w:r>
      <w:proofErr w:type="spellStart"/>
      <w:r>
        <w:t>sample_weight</w:t>
      </w:r>
      <w:proofErr w:type="spellEnd"/>
      <w:r>
        <w:t xml:space="preserve"> array for multi-class. Alternatively, use </w:t>
      </w:r>
      <w:proofErr w:type="spellStart"/>
      <w:r>
        <w:t>eval_metric</w:t>
      </w:r>
      <w:proofErr w:type="spellEnd"/>
      <w:r>
        <w:t>='</w:t>
      </w:r>
      <w:proofErr w:type="spellStart"/>
      <w:r>
        <w:t>mlogloss</w:t>
      </w:r>
      <w:proofErr w:type="spellEnd"/>
      <w:r>
        <w:t>' with early stopping.</w:t>
      </w:r>
    </w:p>
    <w:p w14:paraId="707770D0" w14:textId="77777777" w:rsidR="008A07CA" w:rsidRDefault="00000000">
      <w:pPr>
        <w:spacing w:before="80" w:after="80"/>
      </w:pPr>
      <w:r>
        <w:rPr>
          <w:b/>
          <w:bCs/>
        </w:rPr>
        <w:t xml:space="preserve">Evaluation Metrics: </w:t>
      </w:r>
      <w:r>
        <w:t>Do not use accuracy. Use macro-averaged F1-score, per-class precision/recall, and confusion matrix. AUC-ROC per class (one-vs-rest) is also informative.</w:t>
      </w:r>
    </w:p>
    <w:p w14:paraId="312FCCA1" w14:textId="77777777" w:rsidR="008A07CA" w:rsidRDefault="00000000">
      <w:pPr>
        <w:spacing w:before="80" w:after="80"/>
      </w:pPr>
      <w:r>
        <w:rPr>
          <w:b/>
          <w:bCs/>
        </w:rPr>
        <w:lastRenderedPageBreak/>
        <w:t xml:space="preserve">Type 1 &amp; Gestational: </w:t>
      </w:r>
      <w:r>
        <w:t>With only 117 and 267 cases respectively, consider: (1) SMOTE oversampling, (2) merging into a combined 'Other/Rare' class, or (3) building separate binary classifiers.</w:t>
      </w:r>
    </w:p>
    <w:p w14:paraId="11CA1A14" w14:textId="77777777" w:rsidR="008A07CA" w:rsidRDefault="008A07CA">
      <w:pPr>
        <w:spacing w:before="80"/>
      </w:pPr>
    </w:p>
    <w:p w14:paraId="11571FB9" w14:textId="77777777" w:rsidR="008A07CA" w:rsidRDefault="00000000">
      <w:pPr>
        <w:pBdr>
          <w:top w:val="single" w:sz="2" w:space="0" w:color="E9F7EF"/>
          <w:left w:val="thick" w:sz="12" w:space="0" w:color="1E7E34"/>
          <w:bottom w:val="single" w:sz="2" w:space="0" w:color="E9F7EF"/>
        </w:pBdr>
        <w:shd w:val="clear" w:color="auto" w:fill="E9F7EF"/>
        <w:spacing w:before="160" w:after="160"/>
        <w:ind w:left="360" w:right="360"/>
      </w:pPr>
      <w:r>
        <w:rPr>
          <w:i/>
          <w:iCs/>
        </w:rPr>
        <w:t xml:space="preserve">Recommended evaluation: Macro F1-score as the primary metric, with per-class recall reported separately. A clinician would rather have high recall for </w:t>
      </w:r>
      <w:proofErr w:type="gramStart"/>
      <w:r>
        <w:rPr>
          <w:i/>
          <w:iCs/>
        </w:rPr>
        <w:t>Pre-Diabetes</w:t>
      </w:r>
      <w:proofErr w:type="gramEnd"/>
      <w:r>
        <w:rPr>
          <w:i/>
          <w:iCs/>
        </w:rPr>
        <w:t xml:space="preserve"> (catch all reversible cases) than high precision. Configure models accordingly.</w:t>
      </w:r>
    </w:p>
    <w:p w14:paraId="5668C75C" w14:textId="77777777" w:rsidR="008A07CA" w:rsidRDefault="008A07CA">
      <w:pPr>
        <w:spacing w:before="120"/>
      </w:pPr>
    </w:p>
    <w:p w14:paraId="0CB4F562" w14:textId="77777777" w:rsidR="008A07CA" w:rsidRDefault="00000000">
      <w:pPr>
        <w:pStyle w:val="Heading1"/>
        <w:pBdr>
          <w:bottom w:val="single" w:sz="6" w:space="1" w:color="2E75B6"/>
        </w:pBdr>
      </w:pPr>
      <w:r>
        <w:t>7. Feature Engineering Justification</w:t>
      </w:r>
    </w:p>
    <w:p w14:paraId="153665BB" w14:textId="77777777" w:rsidR="008A07CA" w:rsidRDefault="00000000">
      <w:pPr>
        <w:spacing w:before="80" w:after="100"/>
      </w:pPr>
      <w:r>
        <w:rPr>
          <w:color w:val="000000"/>
        </w:rPr>
        <w:t>The following features were engineered from existing columns to improve model interpretability and align with clinical decision-making:</w:t>
      </w:r>
    </w:p>
    <w:p w14:paraId="62E96217" w14:textId="77777777" w:rsidR="008A07CA" w:rsidRDefault="008A07CA">
      <w:pPr>
        <w:spacing w:before="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352"/>
        <w:gridCol w:w="2338"/>
        <w:gridCol w:w="4670"/>
      </w:tblGrid>
      <w:tr w:rsidR="008A07CA" w14:paraId="44970B89" w14:textId="77777777">
        <w:tc>
          <w:tcPr>
            <w:tcW w:w="2340" w:type="dxa"/>
            <w:tcBorders>
              <w:top w:val="single" w:sz="1" w:space="0" w:color="CCCCCC"/>
              <w:left w:val="single" w:sz="1" w:space="0" w:color="CCCCCC"/>
              <w:bottom w:val="single" w:sz="1" w:space="0" w:color="CCCCCC"/>
              <w:right w:val="single" w:sz="1" w:space="0" w:color="CCCCCC"/>
            </w:tcBorders>
            <w:shd w:val="clear" w:color="auto" w:fill="1B3A6B"/>
            <w:tcMar>
              <w:top w:w="80" w:type="dxa"/>
              <w:left w:w="120" w:type="dxa"/>
              <w:bottom w:w="80" w:type="dxa"/>
              <w:right w:w="120" w:type="dxa"/>
            </w:tcMar>
          </w:tcPr>
          <w:p w14:paraId="2E64FE2C" w14:textId="77777777" w:rsidR="008A07CA" w:rsidRDefault="00000000">
            <w:r>
              <w:rPr>
                <w:b/>
                <w:bCs/>
                <w:color w:val="FFFFFF"/>
              </w:rPr>
              <w:t>Engineered Feature</w:t>
            </w:r>
          </w:p>
        </w:tc>
        <w:tc>
          <w:tcPr>
            <w:tcW w:w="2340" w:type="dxa"/>
            <w:tcBorders>
              <w:top w:val="single" w:sz="1" w:space="0" w:color="CCCCCC"/>
              <w:left w:val="single" w:sz="1" w:space="0" w:color="CCCCCC"/>
              <w:bottom w:val="single" w:sz="1" w:space="0" w:color="CCCCCC"/>
              <w:right w:val="single" w:sz="1" w:space="0" w:color="CCCCCC"/>
            </w:tcBorders>
            <w:shd w:val="clear" w:color="auto" w:fill="1B3A6B"/>
            <w:tcMar>
              <w:top w:w="80" w:type="dxa"/>
              <w:left w:w="120" w:type="dxa"/>
              <w:bottom w:w="80" w:type="dxa"/>
              <w:right w:w="120" w:type="dxa"/>
            </w:tcMar>
          </w:tcPr>
          <w:p w14:paraId="7377B473" w14:textId="77777777" w:rsidR="008A07CA" w:rsidRDefault="00000000">
            <w:r>
              <w:rPr>
                <w:b/>
                <w:bCs/>
                <w:color w:val="FFFFFF"/>
              </w:rPr>
              <w:t>Derived From</w:t>
            </w:r>
          </w:p>
        </w:tc>
        <w:tc>
          <w:tcPr>
            <w:tcW w:w="4680" w:type="dxa"/>
            <w:tcBorders>
              <w:top w:val="single" w:sz="1" w:space="0" w:color="CCCCCC"/>
              <w:left w:val="single" w:sz="1" w:space="0" w:color="CCCCCC"/>
              <w:bottom w:val="single" w:sz="1" w:space="0" w:color="CCCCCC"/>
              <w:right w:val="single" w:sz="1" w:space="0" w:color="CCCCCC"/>
            </w:tcBorders>
            <w:shd w:val="clear" w:color="auto" w:fill="1B3A6B"/>
            <w:tcMar>
              <w:top w:w="80" w:type="dxa"/>
              <w:left w:w="120" w:type="dxa"/>
              <w:bottom w:w="80" w:type="dxa"/>
              <w:right w:w="120" w:type="dxa"/>
            </w:tcMar>
          </w:tcPr>
          <w:p w14:paraId="52529125" w14:textId="77777777" w:rsidR="008A07CA" w:rsidRDefault="00000000">
            <w:r>
              <w:rPr>
                <w:b/>
                <w:bCs/>
                <w:color w:val="FFFFFF"/>
              </w:rPr>
              <w:t>Clinical Justification</w:t>
            </w:r>
          </w:p>
        </w:tc>
      </w:tr>
      <w:tr w:rsidR="008A07CA" w14:paraId="407C5C37" w14:textId="77777777">
        <w:tc>
          <w:tcPr>
            <w:tcW w:w="23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1A27177" w14:textId="77777777" w:rsidR="008A07CA" w:rsidRDefault="00000000">
            <w:proofErr w:type="spellStart"/>
            <w:r>
              <w:rPr>
                <w:b/>
                <w:bCs/>
                <w:color w:val="000000"/>
              </w:rPr>
              <w:t>bmi_category</w:t>
            </w:r>
            <w:proofErr w:type="spellEnd"/>
          </w:p>
        </w:tc>
        <w:tc>
          <w:tcPr>
            <w:tcW w:w="23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FE7D53E" w14:textId="77777777" w:rsidR="008A07CA" w:rsidRDefault="00000000">
            <w:proofErr w:type="spellStart"/>
            <w:r>
              <w:rPr>
                <w:color w:val="000000"/>
              </w:rPr>
              <w:t>bmi</w:t>
            </w:r>
            <w:proofErr w:type="spellEnd"/>
          </w:p>
        </w:tc>
        <w:tc>
          <w:tcPr>
            <w:tcW w:w="46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BECA4D4" w14:textId="77777777" w:rsidR="008A07CA" w:rsidRDefault="00000000">
            <w:r>
              <w:rPr>
                <w:color w:val="000000"/>
              </w:rPr>
              <w:t>Clinically standard classification (WHO): Underweight / Normal / Overweight / Obese. Used in clinical guidelines directly. Useful for SHAP interpretability.</w:t>
            </w:r>
          </w:p>
        </w:tc>
      </w:tr>
      <w:tr w:rsidR="008A07CA" w14:paraId="5D32641E" w14:textId="77777777">
        <w:tc>
          <w:tcPr>
            <w:tcW w:w="2340" w:type="dxa"/>
            <w:tcBorders>
              <w:top w:val="single" w:sz="1" w:space="0" w:color="CCCCCC"/>
              <w:left w:val="single" w:sz="1" w:space="0" w:color="CCCCCC"/>
              <w:bottom w:val="single" w:sz="1" w:space="0" w:color="CCCCCC"/>
              <w:right w:val="single" w:sz="1" w:space="0" w:color="CCCCCC"/>
            </w:tcBorders>
            <w:shd w:val="clear" w:color="auto" w:fill="F2F3F4"/>
            <w:tcMar>
              <w:top w:w="80" w:type="dxa"/>
              <w:left w:w="120" w:type="dxa"/>
              <w:bottom w:w="80" w:type="dxa"/>
              <w:right w:w="120" w:type="dxa"/>
            </w:tcMar>
          </w:tcPr>
          <w:p w14:paraId="7DEA85EA" w14:textId="77777777" w:rsidR="008A07CA" w:rsidRDefault="00000000">
            <w:r>
              <w:rPr>
                <w:b/>
                <w:bCs/>
                <w:color w:val="000000"/>
              </w:rPr>
              <w:t>hba1c_band</w:t>
            </w:r>
          </w:p>
        </w:tc>
        <w:tc>
          <w:tcPr>
            <w:tcW w:w="2340" w:type="dxa"/>
            <w:tcBorders>
              <w:top w:val="single" w:sz="1" w:space="0" w:color="CCCCCC"/>
              <w:left w:val="single" w:sz="1" w:space="0" w:color="CCCCCC"/>
              <w:bottom w:val="single" w:sz="1" w:space="0" w:color="CCCCCC"/>
              <w:right w:val="single" w:sz="1" w:space="0" w:color="CCCCCC"/>
            </w:tcBorders>
            <w:shd w:val="clear" w:color="auto" w:fill="F2F3F4"/>
            <w:tcMar>
              <w:top w:w="80" w:type="dxa"/>
              <w:left w:w="120" w:type="dxa"/>
              <w:bottom w:w="80" w:type="dxa"/>
              <w:right w:w="120" w:type="dxa"/>
            </w:tcMar>
          </w:tcPr>
          <w:p w14:paraId="29205D57" w14:textId="77777777" w:rsidR="008A07CA" w:rsidRDefault="00000000">
            <w:r>
              <w:rPr>
                <w:color w:val="000000"/>
              </w:rPr>
              <w:t>hba1c</w:t>
            </w:r>
          </w:p>
        </w:tc>
        <w:tc>
          <w:tcPr>
            <w:tcW w:w="4680" w:type="dxa"/>
            <w:tcBorders>
              <w:top w:val="single" w:sz="1" w:space="0" w:color="CCCCCC"/>
              <w:left w:val="single" w:sz="1" w:space="0" w:color="CCCCCC"/>
              <w:bottom w:val="single" w:sz="1" w:space="0" w:color="CCCCCC"/>
              <w:right w:val="single" w:sz="1" w:space="0" w:color="CCCCCC"/>
            </w:tcBorders>
            <w:shd w:val="clear" w:color="auto" w:fill="F2F3F4"/>
            <w:tcMar>
              <w:top w:w="80" w:type="dxa"/>
              <w:left w:w="120" w:type="dxa"/>
              <w:bottom w:w="80" w:type="dxa"/>
              <w:right w:w="120" w:type="dxa"/>
            </w:tcMar>
          </w:tcPr>
          <w:p w14:paraId="59A9ABD8" w14:textId="77777777" w:rsidR="008A07CA" w:rsidRDefault="00000000">
            <w:r>
              <w:rPr>
                <w:color w:val="000000"/>
              </w:rPr>
              <w:t xml:space="preserve">Maps to ADA diagnostic thresholds: Normal (&lt; 5.7%) / </w:t>
            </w:r>
            <w:proofErr w:type="gramStart"/>
            <w:r>
              <w:rPr>
                <w:color w:val="000000"/>
              </w:rPr>
              <w:t>Pre-Diabetic</w:t>
            </w:r>
            <w:proofErr w:type="gramEnd"/>
            <w:r>
              <w:rPr>
                <w:color w:val="000000"/>
              </w:rPr>
              <w:t xml:space="preserve"> (5.7-6.4%) / Diabetic (≥ 6.5%). Critical for clinical communication in the dashboard.</w:t>
            </w:r>
          </w:p>
        </w:tc>
      </w:tr>
      <w:tr w:rsidR="008A07CA" w14:paraId="5E5E3B4A" w14:textId="77777777">
        <w:tc>
          <w:tcPr>
            <w:tcW w:w="23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137CD41" w14:textId="77777777" w:rsidR="008A07CA" w:rsidRDefault="00000000">
            <w:proofErr w:type="spellStart"/>
            <w:r>
              <w:rPr>
                <w:b/>
                <w:bCs/>
                <w:color w:val="000000"/>
              </w:rPr>
              <w:t>fasting_glucose_band</w:t>
            </w:r>
            <w:proofErr w:type="spellEnd"/>
          </w:p>
        </w:tc>
        <w:tc>
          <w:tcPr>
            <w:tcW w:w="23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4CA2835" w14:textId="77777777" w:rsidR="008A07CA" w:rsidRDefault="00000000">
            <w:proofErr w:type="spellStart"/>
            <w:r>
              <w:rPr>
                <w:color w:val="000000"/>
              </w:rPr>
              <w:t>glucose_fasting</w:t>
            </w:r>
            <w:proofErr w:type="spellEnd"/>
          </w:p>
        </w:tc>
        <w:tc>
          <w:tcPr>
            <w:tcW w:w="46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A753AD1" w14:textId="77777777" w:rsidR="008A07CA" w:rsidRDefault="00000000">
            <w:r>
              <w:rPr>
                <w:color w:val="000000"/>
              </w:rPr>
              <w:t>Same principle as hba1c_band. Allows dashboard to display clinically meaningful labels rather than raw values.</w:t>
            </w:r>
          </w:p>
        </w:tc>
      </w:tr>
      <w:tr w:rsidR="008A07CA" w14:paraId="35E2D48A" w14:textId="77777777">
        <w:tc>
          <w:tcPr>
            <w:tcW w:w="2340" w:type="dxa"/>
            <w:tcBorders>
              <w:top w:val="single" w:sz="1" w:space="0" w:color="CCCCCC"/>
              <w:left w:val="single" w:sz="1" w:space="0" w:color="CCCCCC"/>
              <w:bottom w:val="single" w:sz="1" w:space="0" w:color="CCCCCC"/>
              <w:right w:val="single" w:sz="1" w:space="0" w:color="CCCCCC"/>
            </w:tcBorders>
            <w:shd w:val="clear" w:color="auto" w:fill="F2F3F4"/>
            <w:tcMar>
              <w:top w:w="80" w:type="dxa"/>
              <w:left w:w="120" w:type="dxa"/>
              <w:bottom w:w="80" w:type="dxa"/>
              <w:right w:w="120" w:type="dxa"/>
            </w:tcMar>
          </w:tcPr>
          <w:p w14:paraId="60157E24" w14:textId="77777777" w:rsidR="008A07CA" w:rsidRDefault="00000000">
            <w:proofErr w:type="spellStart"/>
            <w:r>
              <w:rPr>
                <w:b/>
                <w:bCs/>
                <w:color w:val="000000"/>
              </w:rPr>
              <w:t>pulse_pressure</w:t>
            </w:r>
            <w:proofErr w:type="spellEnd"/>
          </w:p>
        </w:tc>
        <w:tc>
          <w:tcPr>
            <w:tcW w:w="2340" w:type="dxa"/>
            <w:tcBorders>
              <w:top w:val="single" w:sz="1" w:space="0" w:color="CCCCCC"/>
              <w:left w:val="single" w:sz="1" w:space="0" w:color="CCCCCC"/>
              <w:bottom w:val="single" w:sz="1" w:space="0" w:color="CCCCCC"/>
              <w:right w:val="single" w:sz="1" w:space="0" w:color="CCCCCC"/>
            </w:tcBorders>
            <w:shd w:val="clear" w:color="auto" w:fill="F2F3F4"/>
            <w:tcMar>
              <w:top w:w="80" w:type="dxa"/>
              <w:left w:w="120" w:type="dxa"/>
              <w:bottom w:w="80" w:type="dxa"/>
              <w:right w:w="120" w:type="dxa"/>
            </w:tcMar>
          </w:tcPr>
          <w:p w14:paraId="33951960" w14:textId="77777777" w:rsidR="008A07CA" w:rsidRDefault="00000000">
            <w:proofErr w:type="spellStart"/>
            <w:r>
              <w:rPr>
                <w:color w:val="000000"/>
              </w:rPr>
              <w:t>systolic_bp</w:t>
            </w:r>
            <w:proofErr w:type="spellEnd"/>
            <w:r>
              <w:rPr>
                <w:color w:val="000000"/>
              </w:rPr>
              <w:t xml:space="preserve"> - </w:t>
            </w:r>
            <w:proofErr w:type="spellStart"/>
            <w:r>
              <w:rPr>
                <w:color w:val="000000"/>
              </w:rPr>
              <w:t>diastolic_bp</w:t>
            </w:r>
            <w:proofErr w:type="spellEnd"/>
          </w:p>
        </w:tc>
        <w:tc>
          <w:tcPr>
            <w:tcW w:w="4680" w:type="dxa"/>
            <w:tcBorders>
              <w:top w:val="single" w:sz="1" w:space="0" w:color="CCCCCC"/>
              <w:left w:val="single" w:sz="1" w:space="0" w:color="CCCCCC"/>
              <w:bottom w:val="single" w:sz="1" w:space="0" w:color="CCCCCC"/>
              <w:right w:val="single" w:sz="1" w:space="0" w:color="CCCCCC"/>
            </w:tcBorders>
            <w:shd w:val="clear" w:color="auto" w:fill="F2F3F4"/>
            <w:tcMar>
              <w:top w:w="80" w:type="dxa"/>
              <w:left w:w="120" w:type="dxa"/>
              <w:bottom w:w="80" w:type="dxa"/>
              <w:right w:w="120" w:type="dxa"/>
            </w:tcMar>
          </w:tcPr>
          <w:p w14:paraId="79FB39BC" w14:textId="77777777" w:rsidR="008A07CA" w:rsidRDefault="00000000">
            <w:r>
              <w:rPr>
                <w:color w:val="000000"/>
              </w:rPr>
              <w:t>Pulse pressure (&gt; 60 mmHg) indicates arterial stiffness, independently associated with cardiovascular and metabolic disease. Captures information not in either BP value alone.</w:t>
            </w:r>
          </w:p>
        </w:tc>
      </w:tr>
      <w:tr w:rsidR="008A07CA" w14:paraId="632FFDC4" w14:textId="77777777">
        <w:tc>
          <w:tcPr>
            <w:tcW w:w="23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A0073B2" w14:textId="77777777" w:rsidR="008A07CA" w:rsidRDefault="00000000">
            <w:proofErr w:type="spellStart"/>
            <w:r>
              <w:rPr>
                <w:b/>
                <w:bCs/>
                <w:color w:val="000000"/>
              </w:rPr>
              <w:t>lifestyle_risk_score</w:t>
            </w:r>
            <w:proofErr w:type="spellEnd"/>
          </w:p>
        </w:tc>
        <w:tc>
          <w:tcPr>
            <w:tcW w:w="23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E634B07" w14:textId="77777777" w:rsidR="008A07CA" w:rsidRDefault="00000000">
            <w:r>
              <w:rPr>
                <w:color w:val="000000"/>
              </w:rPr>
              <w:t>activity, diet, sleep, screen time</w:t>
            </w:r>
          </w:p>
        </w:tc>
        <w:tc>
          <w:tcPr>
            <w:tcW w:w="46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24243CE" w14:textId="77777777" w:rsidR="008A07CA" w:rsidRDefault="00000000">
            <w:r>
              <w:rPr>
                <w:color w:val="000000"/>
              </w:rPr>
              <w:t>Composite lifestyle risk metric (0-100). Allows K-Means clustering to weight lifestyle dimensions equally. Also useful as a single dashboard metric for patient communication.</w:t>
            </w:r>
          </w:p>
        </w:tc>
      </w:tr>
    </w:tbl>
    <w:p w14:paraId="4327306E" w14:textId="77777777" w:rsidR="008A07CA" w:rsidRDefault="008A07CA">
      <w:pPr>
        <w:spacing w:before="120"/>
      </w:pPr>
    </w:p>
    <w:p w14:paraId="5179B8D6" w14:textId="77777777" w:rsidR="008A07CA" w:rsidRDefault="00000000">
      <w:pPr>
        <w:pStyle w:val="Heading1"/>
        <w:pBdr>
          <w:bottom w:val="single" w:sz="6" w:space="1" w:color="2E75B6"/>
        </w:pBdr>
      </w:pPr>
      <w:r>
        <w:t>8. Summary &amp; Modelling Readiness</w:t>
      </w:r>
    </w:p>
    <w:p w14:paraId="45B4D185" w14:textId="77777777" w:rsidR="008A07CA" w:rsidRDefault="00000000">
      <w:pPr>
        <w:spacing w:before="80" w:after="100"/>
      </w:pPr>
      <w:r>
        <w:rPr>
          <w:color w:val="000000"/>
        </w:rPr>
        <w:t>This domain understanding document establishes the clinical foundation for all modelling decisions in the BC Analytics Diabetes Risk Segmentation project. Key conclusions:</w:t>
      </w:r>
    </w:p>
    <w:p w14:paraId="44D6A4BF" w14:textId="77777777" w:rsidR="008A07CA" w:rsidRDefault="008A07CA">
      <w:pPr>
        <w:spacing w:before="80"/>
      </w:pPr>
    </w:p>
    <w:p w14:paraId="797B0D86" w14:textId="77777777" w:rsidR="008A07CA" w:rsidRDefault="00000000">
      <w:pPr>
        <w:pStyle w:val="ListParagraph"/>
        <w:numPr>
          <w:ilvl w:val="0"/>
          <w:numId w:val="2"/>
        </w:numPr>
        <w:spacing w:before="60" w:after="60"/>
      </w:pPr>
      <w:r>
        <w:t>The dataset captures a clinically realistic patient population with meaningful separation across diabetes stages.</w:t>
      </w:r>
    </w:p>
    <w:p w14:paraId="00C2BB3B" w14:textId="77777777" w:rsidR="008A07CA" w:rsidRDefault="00000000">
      <w:pPr>
        <w:pStyle w:val="ListParagraph"/>
        <w:numPr>
          <w:ilvl w:val="0"/>
          <w:numId w:val="2"/>
        </w:numPr>
        <w:spacing w:before="60" w:after="60"/>
      </w:pPr>
      <w:r>
        <w:t xml:space="preserve">HbA1c, fasting glucose, BMI, and </w:t>
      </w:r>
      <w:proofErr w:type="spellStart"/>
      <w:r>
        <w:t>diabetes_risk_score</w:t>
      </w:r>
      <w:proofErr w:type="spellEnd"/>
      <w:r>
        <w:t xml:space="preserve"> are expected to be the strongest predictors based on clinical evidence.</w:t>
      </w:r>
    </w:p>
    <w:p w14:paraId="49956920" w14:textId="77777777" w:rsidR="008A07CA" w:rsidRDefault="00000000">
      <w:pPr>
        <w:pStyle w:val="ListParagraph"/>
        <w:numPr>
          <w:ilvl w:val="0"/>
          <w:numId w:val="2"/>
        </w:numPr>
        <w:spacing w:before="60" w:after="60"/>
      </w:pPr>
      <w:r>
        <w:lastRenderedPageBreak/>
        <w:t>Lifestyle features (physical activity, diet score, sleep) are the primary intervention levers and should receive focused attention in SHAP analysis.</w:t>
      </w:r>
    </w:p>
    <w:p w14:paraId="03EECE4A" w14:textId="77777777" w:rsidR="008A07CA" w:rsidRDefault="00000000">
      <w:pPr>
        <w:pStyle w:val="ListParagraph"/>
        <w:numPr>
          <w:ilvl w:val="0"/>
          <w:numId w:val="2"/>
        </w:numPr>
        <w:spacing w:before="60" w:after="60"/>
      </w:pPr>
      <w:r>
        <w:t>Class imbalance is severe for Type 1 and Gestational stages and must be addressed before modelling.</w:t>
      </w:r>
    </w:p>
    <w:p w14:paraId="7B6CADC4" w14:textId="77777777" w:rsidR="008A07CA" w:rsidRDefault="00000000">
      <w:pPr>
        <w:pStyle w:val="ListParagraph"/>
        <w:numPr>
          <w:ilvl w:val="0"/>
          <w:numId w:val="2"/>
        </w:numPr>
        <w:spacing w:before="60" w:after="60"/>
      </w:pPr>
      <w:proofErr w:type="spellStart"/>
      <w:r>
        <w:t>diagnosed_diabetes</w:t>
      </w:r>
      <w:proofErr w:type="spellEnd"/>
      <w:r>
        <w:t xml:space="preserve"> must be dropped to prevent target leakage.</w:t>
      </w:r>
    </w:p>
    <w:p w14:paraId="135343F3" w14:textId="77777777" w:rsidR="008A07CA" w:rsidRDefault="00000000">
      <w:pPr>
        <w:pStyle w:val="ListParagraph"/>
        <w:numPr>
          <w:ilvl w:val="0"/>
          <w:numId w:val="2"/>
        </w:numPr>
        <w:spacing w:before="60" w:after="60"/>
      </w:pPr>
      <w:proofErr w:type="spellStart"/>
      <w:r>
        <w:t>diabetes_risk_score</w:t>
      </w:r>
      <w:proofErr w:type="spellEnd"/>
      <w:r>
        <w:t xml:space="preserve"> may cause partial leakage if it was computed using the target; validate its SHAP contribution and consider removing it if it dominates all other features.</w:t>
      </w:r>
    </w:p>
    <w:p w14:paraId="7C626B9C" w14:textId="77777777" w:rsidR="008A07CA" w:rsidRDefault="008A07CA">
      <w:pPr>
        <w:spacing w:before="80"/>
      </w:pPr>
    </w:p>
    <w:p w14:paraId="66C73190" w14:textId="77777777" w:rsidR="008A07CA" w:rsidRDefault="00000000">
      <w:pPr>
        <w:pBdr>
          <w:top w:val="single" w:sz="2" w:space="0" w:color="FFF3CD"/>
          <w:left w:val="thick" w:sz="12" w:space="0" w:color="D4830A"/>
          <w:bottom w:val="single" w:sz="2" w:space="0" w:color="FFF3CD"/>
        </w:pBdr>
        <w:shd w:val="clear" w:color="auto" w:fill="FFF3CD"/>
        <w:spacing w:before="160" w:after="160"/>
        <w:ind w:left="360" w:right="360"/>
      </w:pPr>
      <w:r>
        <w:rPr>
          <w:i/>
          <w:iCs/>
        </w:rPr>
        <w:t xml:space="preserve">The </w:t>
      </w:r>
      <w:proofErr w:type="gramStart"/>
      <w:r>
        <w:rPr>
          <w:i/>
          <w:iCs/>
        </w:rPr>
        <w:t>Pre-Diabetes</w:t>
      </w:r>
      <w:proofErr w:type="gramEnd"/>
      <w:r>
        <w:rPr>
          <w:i/>
          <w:iCs/>
        </w:rPr>
        <w:t xml:space="preserve"> group (31.9% of patients) represents the highest clinical and business value segment: they are identifiable, reversible, and costly if missed. Models and dashboards should prioritise sensitivity for this class.</w:t>
      </w:r>
    </w:p>
    <w:p w14:paraId="02C53EC1" w14:textId="77777777" w:rsidR="008A07CA" w:rsidRDefault="008A07CA">
      <w:pPr>
        <w:spacing w:before="120"/>
      </w:pPr>
    </w:p>
    <w:p w14:paraId="640512A1" w14:textId="77777777" w:rsidR="008A07CA" w:rsidRDefault="00000000">
      <w:pPr>
        <w:spacing w:before="80" w:after="100"/>
        <w:jc w:val="center"/>
      </w:pPr>
      <w:r>
        <w:rPr>
          <w:i/>
          <w:iCs/>
          <w:color w:val="5D6D7E"/>
          <w:sz w:val="18"/>
          <w:szCs w:val="18"/>
        </w:rPr>
        <w:t>Document prepared by BC Analytics Data Science Team | MLG382 Guided Project 2026</w:t>
      </w:r>
    </w:p>
    <w:sectPr w:rsidR="008A07CA">
      <w:headerReference w:type="even" r:id="rId7"/>
      <w:headerReference w:type="default" r:id="rId8"/>
      <w:footerReference w:type="even" r:id="rId9"/>
      <w:footerReference w:type="default" r:id="rId10"/>
      <w:headerReference w:type="first" r:id="rId11"/>
      <w:footerReference w:type="first" r:id="rId12"/>
      <w:pgSz w:w="12240" w:h="15840"/>
      <w:pgMar w:top="1440" w:right="1260" w:bottom="1440" w:left="126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B3A5C28" w14:textId="77777777" w:rsidR="003E0B20" w:rsidRDefault="003E0B20">
      <w:r>
        <w:separator/>
      </w:r>
    </w:p>
  </w:endnote>
  <w:endnote w:type="continuationSeparator" w:id="0">
    <w:p w14:paraId="44A58602" w14:textId="77777777" w:rsidR="003E0B20" w:rsidRDefault="003E0B20">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A57A795" w14:textId="77777777" w:rsidR="00C57961" w:rsidRDefault="00C5796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1BEA827" w14:textId="79795BCF" w:rsidR="008A07CA" w:rsidRDefault="00C57961">
    <w:pPr>
      <w:pBdr>
        <w:top w:val="single" w:sz="4" w:space="0" w:color="2E75B6"/>
      </w:pBdr>
      <w:tabs>
        <w:tab w:val="right" w:pos="9360"/>
      </w:tabs>
      <w:spacing w:before="80"/>
    </w:pPr>
    <w:r>
      <w:rPr>
        <w:color w:val="5D6D7E"/>
        <w:sz w:val="16"/>
        <w:szCs w:val="16"/>
      </w:rPr>
      <w:t>Group 1 – MLG382 Guided Project 2026</w:t>
    </w:r>
    <w:r>
      <w:rPr>
        <w:color w:val="5D6D7E"/>
        <w:sz w:val="16"/>
        <w:szCs w:val="16"/>
      </w:rPr>
      <w:tab/>
      <w:t xml:space="preserve">Page </w:t>
    </w:r>
    <w:r>
      <w:fldChar w:fldCharType="begin"/>
    </w:r>
    <w:r>
      <w:instrText>PAGE</w:instrText>
    </w:r>
    <w:r>
      <w:fldChar w:fldCharType="separate"/>
    </w:r>
    <w:r>
      <w:rPr>
        <w:noProof/>
      </w:rPr>
      <w:t>1</w:t>
    </w:r>
    <w:r>
      <w:fldChar w:fldCharType="end"/>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F4F56DC" w14:textId="77777777" w:rsidR="00C57961" w:rsidRDefault="00C5796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0D29CF9" w14:textId="77777777" w:rsidR="003E0B20" w:rsidRDefault="003E0B20">
      <w:r>
        <w:separator/>
      </w:r>
    </w:p>
  </w:footnote>
  <w:footnote w:type="continuationSeparator" w:id="0">
    <w:p w14:paraId="6C7EF637" w14:textId="77777777" w:rsidR="003E0B20" w:rsidRDefault="003E0B20">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8B39F8" w14:textId="77777777" w:rsidR="00C57961" w:rsidRDefault="00C5796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ABDFBE2" w14:textId="77777777" w:rsidR="00C57961" w:rsidRDefault="00C57961">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21CE1B7" w14:textId="77777777" w:rsidR="00C57961" w:rsidRDefault="00C57961">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475C5E9D"/>
    <w:multiLevelType w:val="hybridMultilevel"/>
    <w:tmpl w:val="D3108486"/>
    <w:lvl w:ilvl="0" w:tplc="7E981B0E">
      <w:start w:val="1"/>
      <w:numFmt w:val="bullet"/>
      <w:lvlText w:val="●"/>
      <w:lvlJc w:val="left"/>
      <w:pPr>
        <w:ind w:left="720" w:hanging="360"/>
      </w:pPr>
    </w:lvl>
    <w:lvl w:ilvl="1" w:tplc="549C6E18">
      <w:start w:val="1"/>
      <w:numFmt w:val="bullet"/>
      <w:lvlText w:val="○"/>
      <w:lvlJc w:val="left"/>
      <w:pPr>
        <w:ind w:left="1440" w:hanging="360"/>
      </w:pPr>
    </w:lvl>
    <w:lvl w:ilvl="2" w:tplc="2146BD6A">
      <w:start w:val="1"/>
      <w:numFmt w:val="bullet"/>
      <w:lvlText w:val="■"/>
      <w:lvlJc w:val="left"/>
      <w:pPr>
        <w:ind w:left="2160" w:hanging="360"/>
      </w:pPr>
    </w:lvl>
    <w:lvl w:ilvl="3" w:tplc="2C94B940">
      <w:start w:val="1"/>
      <w:numFmt w:val="bullet"/>
      <w:lvlText w:val="●"/>
      <w:lvlJc w:val="left"/>
      <w:pPr>
        <w:ind w:left="2880" w:hanging="360"/>
      </w:pPr>
    </w:lvl>
    <w:lvl w:ilvl="4" w:tplc="77487468">
      <w:start w:val="1"/>
      <w:numFmt w:val="bullet"/>
      <w:lvlText w:val="○"/>
      <w:lvlJc w:val="left"/>
      <w:pPr>
        <w:ind w:left="3600" w:hanging="360"/>
      </w:pPr>
    </w:lvl>
    <w:lvl w:ilvl="5" w:tplc="57DADBAA">
      <w:start w:val="1"/>
      <w:numFmt w:val="bullet"/>
      <w:lvlText w:val="■"/>
      <w:lvlJc w:val="left"/>
      <w:pPr>
        <w:ind w:left="4320" w:hanging="360"/>
      </w:pPr>
    </w:lvl>
    <w:lvl w:ilvl="6" w:tplc="BF1C0EA0">
      <w:start w:val="1"/>
      <w:numFmt w:val="bullet"/>
      <w:lvlText w:val="●"/>
      <w:lvlJc w:val="left"/>
      <w:pPr>
        <w:ind w:left="5040" w:hanging="360"/>
      </w:pPr>
    </w:lvl>
    <w:lvl w:ilvl="7" w:tplc="78C6AD70">
      <w:start w:val="1"/>
      <w:numFmt w:val="bullet"/>
      <w:lvlText w:val="●"/>
      <w:lvlJc w:val="left"/>
      <w:pPr>
        <w:ind w:left="5760" w:hanging="360"/>
      </w:pPr>
    </w:lvl>
    <w:lvl w:ilvl="8" w:tplc="1C321BB4">
      <w:start w:val="1"/>
      <w:numFmt w:val="bullet"/>
      <w:lvlText w:val="●"/>
      <w:lvlJc w:val="left"/>
      <w:pPr>
        <w:ind w:left="6480" w:hanging="360"/>
      </w:pPr>
    </w:lvl>
  </w:abstractNum>
  <w:abstractNum w:abstractNumId="1" w15:restartNumberingAfterBreak="0">
    <w:nsid w:val="4DEC1F30"/>
    <w:multiLevelType w:val="hybridMultilevel"/>
    <w:tmpl w:val="5064A2E8"/>
    <w:lvl w:ilvl="0" w:tplc="2C623390">
      <w:start w:val="1"/>
      <w:numFmt w:val="bullet"/>
      <w:lvlText w:val="•"/>
      <w:lvlJc w:val="left"/>
      <w:pPr>
        <w:ind w:left="720" w:hanging="360"/>
      </w:pPr>
    </w:lvl>
    <w:lvl w:ilvl="1" w:tplc="7A7693D4">
      <w:start w:val="1"/>
      <w:numFmt w:val="bullet"/>
      <w:lvlText w:val="◦"/>
      <w:lvlJc w:val="left"/>
      <w:pPr>
        <w:ind w:left="1080" w:hanging="360"/>
      </w:pPr>
    </w:lvl>
    <w:lvl w:ilvl="2" w:tplc="C380AE0A">
      <w:numFmt w:val="decimal"/>
      <w:lvlText w:val=""/>
      <w:lvlJc w:val="left"/>
    </w:lvl>
    <w:lvl w:ilvl="3" w:tplc="55BED13A">
      <w:numFmt w:val="decimal"/>
      <w:lvlText w:val=""/>
      <w:lvlJc w:val="left"/>
    </w:lvl>
    <w:lvl w:ilvl="4" w:tplc="59E04D46">
      <w:numFmt w:val="decimal"/>
      <w:lvlText w:val=""/>
      <w:lvlJc w:val="left"/>
    </w:lvl>
    <w:lvl w:ilvl="5" w:tplc="09125144">
      <w:numFmt w:val="decimal"/>
      <w:lvlText w:val=""/>
      <w:lvlJc w:val="left"/>
    </w:lvl>
    <w:lvl w:ilvl="6" w:tplc="FBD6E40E">
      <w:numFmt w:val="decimal"/>
      <w:lvlText w:val=""/>
      <w:lvlJc w:val="left"/>
    </w:lvl>
    <w:lvl w:ilvl="7" w:tplc="7248C21E">
      <w:numFmt w:val="decimal"/>
      <w:lvlText w:val=""/>
      <w:lvlJc w:val="left"/>
    </w:lvl>
    <w:lvl w:ilvl="8" w:tplc="87FEA344">
      <w:numFmt w:val="decimal"/>
      <w:lvlText w:val=""/>
      <w:lvlJc w:val="left"/>
    </w:lvl>
  </w:abstractNum>
  <w:num w:numId="1" w16cid:durableId="1475415593">
    <w:abstractNumId w:val="0"/>
    <w:lvlOverride w:ilvl="0">
      <w:startOverride w:val="1"/>
    </w:lvlOverride>
  </w:num>
  <w:num w:numId="2" w16cid:durableId="1971394170">
    <w:abstractNumId w:val="1"/>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8A07CA"/>
    <w:rsid w:val="0019073D"/>
    <w:rsid w:val="003E0B20"/>
    <w:rsid w:val="00644FB0"/>
    <w:rsid w:val="008A07CA"/>
    <w:rsid w:val="00C57961"/>
    <w:rsid w:val="00DA48C6"/>
    <w:rsid w:val="00EC1D0B"/>
  </w:rsids>
  <m:mathPr>
    <m:mathFont m:val="Cambria Math"/>
    <m:brkBin m:val="before"/>
    <m:brkBinSub m:val="--"/>
    <m:smallFrac m:val="0"/>
    <m:dispDef/>
    <m:lMargin m:val="0"/>
    <m:rMargin m:val="0"/>
    <m:defJc m:val="centerGroup"/>
    <m:wrapIndent m:val="1440"/>
    <m:intLim m:val="subSup"/>
    <m:naryLim m:val="undOvr"/>
  </m:mathPr>
  <w:themeFontLang w:val="en-001"/>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EEA3332"/>
  <w15:docId w15:val="{37AA2226-9B2A-409A-A2CE-CE01BD08C99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lang w:val="en-001" w:eastAsia="en-001"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spacing w:before="360" w:after="200"/>
      <w:outlineLvl w:val="0"/>
    </w:pPr>
    <w:rPr>
      <w:b/>
      <w:bCs/>
      <w:color w:val="1B3A6B"/>
      <w:sz w:val="36"/>
      <w:szCs w:val="36"/>
    </w:rPr>
  </w:style>
  <w:style w:type="paragraph" w:styleId="Heading2">
    <w:name w:val="heading 2"/>
    <w:uiPriority w:val="9"/>
    <w:unhideWhenUsed/>
    <w:qFormat/>
    <w:pPr>
      <w:spacing w:before="280" w:after="140"/>
      <w:outlineLvl w:val="1"/>
    </w:pPr>
    <w:rPr>
      <w:b/>
      <w:bCs/>
      <w:color w:val="2E75B6"/>
      <w:sz w:val="28"/>
      <w:szCs w:val="28"/>
    </w:rPr>
  </w:style>
  <w:style w:type="paragraph" w:styleId="Heading3">
    <w:name w:val="heading 3"/>
    <w:uiPriority w:val="9"/>
    <w:semiHidden/>
    <w:unhideWhenUsed/>
    <w:qFormat/>
    <w:pPr>
      <w:spacing w:before="200" w:after="100"/>
      <w:outlineLvl w:val="2"/>
    </w:pPr>
    <w:rPr>
      <w:b/>
      <w:bCs/>
      <w:color w:val="008080"/>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style>
  <w:style w:type="character" w:customStyle="1" w:styleId="EndnoteTextChar">
    <w:name w:val="Endnote Text Char"/>
    <w:link w:val="EndnoteText"/>
    <w:uiPriority w:val="99"/>
    <w:semiHidden/>
    <w:unhideWhenUsed/>
    <w:rPr>
      <w:sz w:val="20"/>
      <w:szCs w:val="20"/>
    </w:rPr>
  </w:style>
  <w:style w:type="paragraph" w:styleId="Header">
    <w:name w:val="header"/>
    <w:basedOn w:val="Normal"/>
    <w:link w:val="HeaderChar"/>
    <w:uiPriority w:val="99"/>
    <w:unhideWhenUsed/>
    <w:rsid w:val="00C57961"/>
    <w:pPr>
      <w:tabs>
        <w:tab w:val="center" w:pos="4513"/>
        <w:tab w:val="right" w:pos="9026"/>
      </w:tabs>
    </w:pPr>
  </w:style>
  <w:style w:type="character" w:customStyle="1" w:styleId="HeaderChar">
    <w:name w:val="Header Char"/>
    <w:basedOn w:val="DefaultParagraphFont"/>
    <w:link w:val="Header"/>
    <w:uiPriority w:val="99"/>
    <w:rsid w:val="00C57961"/>
  </w:style>
  <w:style w:type="paragraph" w:styleId="Footer">
    <w:name w:val="footer"/>
    <w:basedOn w:val="Normal"/>
    <w:link w:val="FooterChar"/>
    <w:uiPriority w:val="99"/>
    <w:unhideWhenUsed/>
    <w:rsid w:val="00C57961"/>
    <w:pPr>
      <w:tabs>
        <w:tab w:val="center" w:pos="4513"/>
        <w:tab w:val="right" w:pos="9026"/>
      </w:tabs>
    </w:pPr>
  </w:style>
  <w:style w:type="character" w:customStyle="1" w:styleId="FooterChar">
    <w:name w:val="Footer Char"/>
    <w:basedOn w:val="DefaultParagraphFont"/>
    <w:link w:val="Footer"/>
    <w:uiPriority w:val="99"/>
    <w:rsid w:val="00C57961"/>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eader" Target="header2.xml"/><Relationship Id="rId13"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eader" Target="header1.xml"/><Relationship Id="rId12" Type="http://schemas.openxmlformats.org/officeDocument/2006/relationships/footer" Target="footer3.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eader" Target="header3.xml"/><Relationship Id="rId5" Type="http://schemas.openxmlformats.org/officeDocument/2006/relationships/footnotes" Target="footnotes.xml"/><Relationship Id="rId10" Type="http://schemas.openxmlformats.org/officeDocument/2006/relationships/footer" Target="footer2.xml"/><Relationship Id="rId4" Type="http://schemas.openxmlformats.org/officeDocument/2006/relationships/webSettings" Target="webSettings.xml"/><Relationship Id="rId9" Type="http://schemas.openxmlformats.org/officeDocument/2006/relationships/footer" Target="footer1.xml"/><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5</TotalTime>
  <Pages>11</Pages>
  <Words>2958</Words>
  <Characters>18375</Characters>
  <Application>Microsoft Office Word</Application>
  <DocSecurity>0</DocSecurity>
  <Lines>643</Lines>
  <Paragraphs>344</Paragraphs>
  <ScaleCrop>false</ScaleCrop>
  <Company/>
  <LinksUpToDate>false</LinksUpToDate>
  <CharactersWithSpaces>21029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Armand Johannes Vermeulen</cp:lastModifiedBy>
  <cp:revision>3</cp:revision>
  <dcterms:created xsi:type="dcterms:W3CDTF">2026-04-13T06:35:00Z</dcterms:created>
  <dcterms:modified xsi:type="dcterms:W3CDTF">2026-04-13T07:13:00Z</dcterms:modified>
</cp:coreProperties>
</file>