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DEE6" w14:textId="77777777" w:rsidR="002B6383" w:rsidRDefault="00000000">
      <w:pPr>
        <w:jc w:val="center"/>
      </w:pPr>
      <w:r>
        <w:rPr>
          <w:b/>
          <w:sz w:val="32"/>
        </w:rPr>
        <w:t>SEN381 SOFTWARE ENGINEERING 381 | ASSIGNMENT 3</w:t>
      </w:r>
    </w:p>
    <w:p w14:paraId="2672E5A3" w14:textId="77777777" w:rsidR="002B6383" w:rsidRDefault="002B6383"/>
    <w:p w14:paraId="20E06E04" w14:textId="43D800A7" w:rsidR="002B6383" w:rsidRDefault="00000000">
      <w:r>
        <w:t xml:space="preserve">Team: </w:t>
      </w:r>
      <w:r w:rsidR="0090382E">
        <w:t>Armand Vermeulen</w:t>
      </w:r>
    </w:p>
    <w:p w14:paraId="5CE95416" w14:textId="77777777" w:rsidR="002B6383" w:rsidRDefault="00000000">
      <w:r>
        <w:t>Date: 22 September 2026</w:t>
      </w:r>
    </w:p>
    <w:p w14:paraId="7E4BB884" w14:textId="77777777" w:rsidR="002B6383" w:rsidRDefault="00000000">
      <w:r>
        <w:t>________________________________________________________________________________</w:t>
      </w:r>
    </w:p>
    <w:p w14:paraId="39F288B4" w14:textId="77777777" w:rsidR="002B6383" w:rsidRDefault="00000000">
      <w:pPr>
        <w:pStyle w:val="Heading1"/>
      </w:pPr>
      <w:r>
        <w:t>7. Question 3 - Production Readiness, Deployment &amp; Operational Evidence [15]</w:t>
      </w:r>
    </w:p>
    <w:p w14:paraId="287338D5" w14:textId="77777777" w:rsidR="002B6383" w:rsidRDefault="00000000">
      <w:pPr>
        <w:pStyle w:val="Heading2"/>
      </w:pPr>
      <w:r>
        <w:t>7.1 Environment Strategy</w:t>
      </w:r>
    </w:p>
    <w:p w14:paraId="67581C3E" w14:textId="77777777" w:rsidR="002B6383" w:rsidRDefault="00000000">
      <w:r>
        <w:t>Development, test/staging and production environments must be established as separate, controlled environments that support progressive verification while maintaining configuration parity. Development environments provide individual developers with the autonomy needed for experimentation and rapid iteration, but must converge on a shared integration environment to detect compatibility issues early (Google Cloud, 2024). A dedicated staging environment that mirrors production hardware, software versions and configuration is essential for pre-release verification, particularly for deployments where rollback capability is limited (Microsoft Azure, 2024).</w:t>
      </w:r>
    </w:p>
    <w:p w14:paraId="3A4060B3" w14:textId="77777777" w:rsidR="002B6383" w:rsidRDefault="00000000">
      <w:r>
        <w:t>Configuration drift, where environment differences accumulate over time, represents a significant deployment risk. Uncontrolled environment differences can lead to the "works on my machine" phenomenon where software passes local tests but fails in production due to missing dependencies, version mismatches, or configuration discrepancies (Kubernetes Documentation, 2024). Infrastructure as Code (IaC) tools like Terraform and containerisation with Docker provide mechanisms to enforce environment consistency through declarative configuration that can be version-controlled and applied uniformly across environments (Red Hat, 2024).</w:t>
      </w:r>
    </w:p>
    <w:p w14:paraId="52CA7543" w14:textId="77777777" w:rsidR="002B6383" w:rsidRDefault="00000000">
      <w:pPr>
        <w:pStyle w:val="Heading2"/>
      </w:pPr>
      <w:r>
        <w:t>7.2 Secrets and Configuration Management</w:t>
      </w:r>
    </w:p>
    <w:p w14:paraId="3C017B0F" w14:textId="77777777" w:rsidR="002B6383" w:rsidRDefault="00000000">
      <w:r>
        <w:t>Sensitive configuration data such as database connection strings, API keys, authentication tokens, and encryption keys must never be hardcoded in source code or committed to version control. Instead, secrets should be managed through dedicated secrets management systems like HashiCorp Vault, Azure Key Vault, or AWS Secrets Manager, which provide encryption at rest and in transit, access auditing, and automatic rotation capabilities (HashiCorp, 2024).</w:t>
      </w:r>
    </w:p>
    <w:p w14:paraId="1FDAC19F" w14:textId="77777777" w:rsidR="002B6383" w:rsidRDefault="00000000">
      <w:r>
        <w:t>Configuration should be structured hierarchically, with environment-specific settings separated from application code. The Twelve-Factor App methodology recommends storing configuration in environment variables, which provides separation between code and configuration while allowing environment-specific values to be injected at runtime (Heroku, 2024). For CivicConnect, this approach ensures that database connections, API endpoints, and feature flags can vary between development, test and production environments without code changes.</w:t>
      </w:r>
    </w:p>
    <w:p w14:paraId="2642BC11" w14:textId="77777777" w:rsidR="002B6383" w:rsidRDefault="00000000">
      <w:pPr>
        <w:pStyle w:val="Heading2"/>
      </w:pPr>
      <w:r>
        <w:lastRenderedPageBreak/>
        <w:t>7.3 Release and Deployment Process</w:t>
      </w:r>
    </w:p>
    <w:p w14:paraId="6935A0B4" w14:textId="77777777" w:rsidR="002B6383" w:rsidRDefault="00000000">
      <w:r>
        <w:t>Automated deployment pipelines transform the release process from a manual, error-prone activity into a repeatable, auditable workflow. Continuous Integration/Continuous Deployment (CI/CD) pipelines using tools like GitHub Actions, GitLab CI/CD, or Jenkins automate building, testing, and deployment activities, reducing human error and providing deployment traceability (Atlassian, 2024).</w:t>
      </w:r>
    </w:p>
    <w:p w14:paraId="49631300" w14:textId="77777777" w:rsidR="002B6383" w:rsidRDefault="00000000">
      <w:r>
        <w:t>Successful software compilation does not guarantee successful deployment or usability. The deployment process must include verification steps that confirm the application is not only running but also healthy and responding to requests. Health checks, readiness probes, and liveness probes (as implemented in Kubernetes) provide mechanisms for the deployment system to verify application health before routing traffic to new versions (Kubernetes Documentation, 2024).</w:t>
      </w:r>
    </w:p>
    <w:p w14:paraId="78DCB945" w14:textId="77777777" w:rsidR="002B6383" w:rsidRDefault="00000000">
      <w:pPr>
        <w:pStyle w:val="Heading2"/>
      </w:pPr>
      <w:r>
        <w:t>7.4 Failure and Recovery Planning</w:t>
      </w:r>
    </w:p>
    <w:p w14:paraId="46BC76D7" w14:textId="77777777" w:rsidR="002B6383" w:rsidRDefault="00000000">
      <w:r>
        <w:t>Rollback capability is essential for mitigating deployment failures. Blue-green deployments maintain two identical production environments (blue and green), allowing traffic to be switched between them instantly. If a deployment to the green environment exhibits problems, traffic can be reverted to the blue environment while the issue is investigated (AWS, 2024). For database changes, forward-compatible migrations and backward-compatible rollback scripts must be developed and tested in staging environments before production deployment (Flyway, 2024).</w:t>
      </w:r>
    </w:p>
    <w:p w14:paraId="4727E9CD" w14:textId="77777777" w:rsidR="002B6383" w:rsidRDefault="00000000">
      <w:r>
        <w:t>Backup and recovery procedures must be established for both application data and configuration state. Regular automated backups should be configured with retention policies aligned to recovery point objectives (RPO). Recovery procedures must be documented and tested regularly to ensure they work when needed most (NIST, 2020).</w:t>
      </w:r>
    </w:p>
    <w:p w14:paraId="61413330" w14:textId="77777777" w:rsidR="002B6383" w:rsidRDefault="00000000">
      <w:pPr>
        <w:pStyle w:val="Heading2"/>
      </w:pPr>
      <w:r>
        <w:t>7.5 Operations and Observability</w:t>
      </w:r>
    </w:p>
    <w:p w14:paraId="1D55B0DA" w14:textId="77777777" w:rsidR="002B6383" w:rsidRDefault="00000000">
      <w:r>
        <w:t>Observability comprises logs, metrics, and traces that together provide insight into system behaviour. Logs capture discrete events and should be structured (JSON format) rather than unstructured text to enable automated parsing and correlation (Elastic, 2024). Metrics provide quantitative measurements of system performance over time, while distributed tracing follows requests across service boundaries to identify performance bottlenecks (OpenTelemetry, 2024).</w:t>
      </w:r>
    </w:p>
    <w:p w14:paraId="7B6E4AB2" w14:textId="77777777" w:rsidR="002B6383" w:rsidRDefault="00000000">
      <w:r>
        <w:t>Monitoring without actionable interpretation is insufficient. Alerting thresholds should be based on service level objectives (SLOs) rather than arbitrary values, and alerts should be actionable with clear runbooks for response (Google Cloud, 2024). For CivicConnect, key metrics would include request latency, error rates, and user authentication success rates, with alerts configured when these metrics deviate from acceptable ranges.</w:t>
      </w:r>
    </w:p>
    <w:p w14:paraId="51349503" w14:textId="77777777" w:rsidR="002B6383" w:rsidRDefault="00000000">
      <w:pPr>
        <w:pStyle w:val="Heading2"/>
      </w:pPr>
      <w:r>
        <w:t>7.6 Operational Quality Considerations</w:t>
      </w:r>
    </w:p>
    <w:p w14:paraId="694561CA" w14:textId="77777777" w:rsidR="002B6383" w:rsidRDefault="00000000">
      <w:r>
        <w:t>Production readiness extends beyond functionality to encompass reliability, performance, scalability, cost management, and supportability:</w:t>
      </w:r>
    </w:p>
    <w:p w14:paraId="25C56A16" w14:textId="77777777" w:rsidR="002B6383" w:rsidRDefault="00000000">
      <w:pPr>
        <w:pStyle w:val="ListBullet"/>
      </w:pPr>
      <w:r>
        <w:rPr>
          <w:b/>
        </w:rPr>
        <w:lastRenderedPageBreak/>
        <w:t xml:space="preserve">Reliability: </w:t>
      </w:r>
      <w:r>
        <w:t>is measured through availability (uptime percentage) and mean time between failures (MTBF). For a service request management system like CivicConnect, high availability during business hours is essential for maintaining stakeholder trust (ISO/IEC 25010, 2011).</w:t>
      </w:r>
    </w:p>
    <w:p w14:paraId="21839075" w14:textId="77777777" w:rsidR="002B6383" w:rsidRDefault="00000000">
      <w:pPr>
        <w:pStyle w:val="ListBullet"/>
      </w:pPr>
      <w:r>
        <w:rPr>
          <w:b/>
        </w:rPr>
        <w:t xml:space="preserve">Performance: </w:t>
      </w:r>
      <w:r>
        <w:t>expectations must be quantified as non-functional requirements, such as "95% of requests shall load within 2 seconds under normal load," with monitoring to verify these requirements are met in production (Microsoft, 2024).</w:t>
      </w:r>
    </w:p>
    <w:p w14:paraId="4F499066" w14:textId="77777777" w:rsidR="002B6383" w:rsidRDefault="00000000">
      <w:pPr>
        <w:pStyle w:val="ListBullet"/>
      </w:pPr>
      <w:r>
        <w:rPr>
          <w:b/>
        </w:rPr>
        <w:t xml:space="preserve">Scalability: </w:t>
      </w:r>
      <w:r>
        <w:t>considerations include both vertical scaling (increasing resources per instance) and horizontal scaling (adding more instances), with load testing needed to identify scaling limits before they are encountered in production (AWS, 2024).</w:t>
      </w:r>
    </w:p>
    <w:p w14:paraId="54358639" w14:textId="77777777" w:rsidR="002B6383" w:rsidRDefault="00000000">
      <w:pPr>
        <w:pStyle w:val="ListBullet"/>
      </w:pPr>
      <w:r>
        <w:rPr>
          <w:b/>
        </w:rPr>
        <w:t xml:space="preserve">Cost management: </w:t>
      </w:r>
      <w:r>
        <w:t>requires monitoring resource utilisation and implementing cost controls, particularly when using cloud services with consumption-based pricing (Microsoft Azure, 2024).</w:t>
      </w:r>
    </w:p>
    <w:p w14:paraId="246B2B80" w14:textId="77777777" w:rsidR="002B6383" w:rsidRDefault="00000000">
      <w:pPr>
        <w:pStyle w:val="ListBullet"/>
      </w:pPr>
      <w:r>
        <w:rPr>
          <w:b/>
        </w:rPr>
        <w:t xml:space="preserve">Supportability: </w:t>
      </w:r>
      <w:r>
        <w:t>encompasses documentation, logging detail, and diagnostic tooling that enables efficient troubleshooting when issues arise (Red Hat, 2024).</w:t>
      </w:r>
    </w:p>
    <w:p w14:paraId="3E708B77" w14:textId="77777777" w:rsidR="002B6383" w:rsidRDefault="00000000">
      <w:pPr>
        <w:pStyle w:val="Heading2"/>
      </w:pPr>
      <w:r>
        <w:t>7.7 Production-Readiness Evidence Matrix</w:t>
      </w:r>
    </w:p>
    <w:tbl>
      <w:tblPr>
        <w:tblStyle w:val="LightGrid-Accent1"/>
        <w:tblW w:w="0" w:type="auto"/>
        <w:jc w:val="center"/>
        <w:tblLook w:val="04A0" w:firstRow="1" w:lastRow="0" w:firstColumn="1" w:lastColumn="0" w:noHBand="0" w:noVBand="1"/>
      </w:tblPr>
      <w:tblGrid>
        <w:gridCol w:w="2189"/>
        <w:gridCol w:w="2213"/>
        <w:gridCol w:w="2578"/>
        <w:gridCol w:w="2596"/>
      </w:tblGrid>
      <w:tr w:rsidR="002B6383" w14:paraId="7459F53D" w14:textId="77777777" w:rsidTr="002B63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D9E2F3"/>
          </w:tcPr>
          <w:p w14:paraId="7EA33662" w14:textId="77777777" w:rsidR="002B6383" w:rsidRDefault="00000000">
            <w:r>
              <w:t>Production-Readiness Concern</w:t>
            </w:r>
          </w:p>
        </w:tc>
        <w:tc>
          <w:tcPr>
            <w:tcW w:w="2592" w:type="dxa"/>
            <w:shd w:val="clear" w:color="auto" w:fill="D9E2F3"/>
          </w:tcPr>
          <w:p w14:paraId="566A4BDB" w14:textId="77777777" w:rsidR="002B6383" w:rsidRDefault="00000000">
            <w:pPr>
              <w:cnfStyle w:val="100000000000" w:firstRow="1" w:lastRow="0" w:firstColumn="0" w:lastColumn="0" w:oddVBand="0" w:evenVBand="0" w:oddHBand="0" w:evenHBand="0" w:firstRowFirstColumn="0" w:firstRowLastColumn="0" w:lastRowFirstColumn="0" w:lastRowLastColumn="0"/>
            </w:pPr>
            <w:r>
              <w:t>Risk If Ignored Before Release</w:t>
            </w:r>
          </w:p>
        </w:tc>
        <w:tc>
          <w:tcPr>
            <w:tcW w:w="3168" w:type="dxa"/>
            <w:shd w:val="clear" w:color="auto" w:fill="D9E2F3"/>
          </w:tcPr>
          <w:p w14:paraId="46ECECF2" w14:textId="77777777" w:rsidR="002B6383" w:rsidRDefault="00000000">
            <w:pPr>
              <w:cnfStyle w:val="100000000000" w:firstRow="1" w:lastRow="0" w:firstColumn="0" w:lastColumn="0" w:oddVBand="0" w:evenVBand="0" w:oddHBand="0" w:evenHBand="0" w:firstRowFirstColumn="0" w:firstRowLastColumn="0" w:lastRowFirstColumn="0" w:lastRowLastColumn="0"/>
            </w:pPr>
            <w:r>
              <w:t>Evidence Required Before Release</w:t>
            </w:r>
          </w:p>
        </w:tc>
        <w:tc>
          <w:tcPr>
            <w:tcW w:w="3168" w:type="dxa"/>
            <w:shd w:val="clear" w:color="auto" w:fill="D9E2F3"/>
          </w:tcPr>
          <w:p w14:paraId="0A4AD855" w14:textId="77777777" w:rsidR="002B6383" w:rsidRDefault="00000000">
            <w:pPr>
              <w:cnfStyle w:val="100000000000" w:firstRow="1" w:lastRow="0" w:firstColumn="0" w:lastColumn="0" w:oddVBand="0" w:evenVBand="0" w:oddHBand="0" w:evenHBand="0" w:firstRowFirstColumn="0" w:firstRowLastColumn="0" w:lastRowFirstColumn="0" w:lastRowLastColumn="0"/>
            </w:pPr>
            <w:r>
              <w:t>Evidence to Monitor After Release</w:t>
            </w:r>
          </w:p>
        </w:tc>
      </w:tr>
      <w:tr w:rsidR="002B6383" w14:paraId="4F627990" w14:textId="77777777" w:rsidTr="002B63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A22267D" w14:textId="77777777" w:rsidR="002B6383" w:rsidRDefault="00000000">
            <w:r>
              <w:t>Database Migration Compatibility</w:t>
            </w:r>
          </w:p>
        </w:tc>
        <w:tc>
          <w:tcPr>
            <w:tcW w:w="2592" w:type="dxa"/>
          </w:tcPr>
          <w:p w14:paraId="4B2B50AB" w14:textId="77777777" w:rsidR="002B6383" w:rsidRDefault="00000000">
            <w:pPr>
              <w:cnfStyle w:val="000000100000" w:firstRow="0" w:lastRow="0" w:firstColumn="0" w:lastColumn="0" w:oddVBand="0" w:evenVBand="0" w:oddHBand="1" w:evenHBand="0" w:firstRowFirstColumn="0" w:firstRowLastColumn="0" w:lastRowFirstColumn="0" w:lastRowLastColumn="0"/>
            </w:pPr>
            <w:r>
              <w:t>Data corruption or loss during deployment; service interruption</w:t>
            </w:r>
          </w:p>
        </w:tc>
        <w:tc>
          <w:tcPr>
            <w:tcW w:w="3168" w:type="dxa"/>
          </w:tcPr>
          <w:p w14:paraId="57C27FFE" w14:textId="77777777" w:rsidR="002B6383" w:rsidRDefault="00000000">
            <w:pPr>
              <w:cnfStyle w:val="000000100000" w:firstRow="0" w:lastRow="0" w:firstColumn="0" w:lastColumn="0" w:oddVBand="0" w:evenVBand="0" w:oddHBand="1" w:evenHBand="0" w:firstRowFirstColumn="0" w:firstRowLastColumn="0" w:lastRowFirstColumn="0" w:lastRowLastColumn="0"/>
            </w:pPr>
            <w:r>
              <w:t>Migration script tested in staging; rollback procedure documented and tested</w:t>
            </w:r>
          </w:p>
        </w:tc>
        <w:tc>
          <w:tcPr>
            <w:tcW w:w="3168" w:type="dxa"/>
          </w:tcPr>
          <w:p w14:paraId="5BB5253D" w14:textId="77777777" w:rsidR="002B6383" w:rsidRDefault="00000000">
            <w:pPr>
              <w:cnfStyle w:val="000000100000" w:firstRow="0" w:lastRow="0" w:firstColumn="0" w:lastColumn="0" w:oddVBand="0" w:evenVBand="0" w:oddHBand="1" w:evenHBand="0" w:firstRowFirstColumn="0" w:firstRowLastColumn="0" w:lastRowFirstColumn="0" w:lastRowLastColumn="0"/>
            </w:pPr>
            <w:r>
              <w:t>Migration success rate; data consistency checks; error rates</w:t>
            </w:r>
          </w:p>
        </w:tc>
      </w:tr>
      <w:tr w:rsidR="002B6383" w14:paraId="775391CF" w14:textId="77777777" w:rsidTr="002B63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FDE7271" w14:textId="77777777" w:rsidR="002B6383" w:rsidRDefault="00000000">
            <w:r>
              <w:t>Configuration Secret Management</w:t>
            </w:r>
          </w:p>
        </w:tc>
        <w:tc>
          <w:tcPr>
            <w:tcW w:w="2592" w:type="dxa"/>
          </w:tcPr>
          <w:p w14:paraId="63D90675" w14:textId="77777777" w:rsidR="002B6383" w:rsidRDefault="00000000">
            <w:pPr>
              <w:cnfStyle w:val="000000010000" w:firstRow="0" w:lastRow="0" w:firstColumn="0" w:lastColumn="0" w:oddVBand="0" w:evenVBand="0" w:oddHBand="0" w:evenHBand="1" w:firstRowFirstColumn="0" w:firstRowLastColumn="0" w:lastRowFirstColumn="0" w:lastRowLastColumn="0"/>
            </w:pPr>
            <w:r>
              <w:t>Unauthorised access to sensitive data; credential leakage</w:t>
            </w:r>
          </w:p>
        </w:tc>
        <w:tc>
          <w:tcPr>
            <w:tcW w:w="3168" w:type="dxa"/>
          </w:tcPr>
          <w:p w14:paraId="17D99331" w14:textId="77777777" w:rsidR="002B6383" w:rsidRDefault="00000000">
            <w:pPr>
              <w:cnfStyle w:val="000000010000" w:firstRow="0" w:lastRow="0" w:firstColumn="0" w:lastColumn="0" w:oddVBand="0" w:evenVBand="0" w:oddHBand="0" w:evenHBand="1" w:firstRowFirstColumn="0" w:firstRowLastColumn="0" w:lastRowFirstColumn="0" w:lastRowLastColumn="0"/>
            </w:pPr>
            <w:r>
              <w:t>Secrets stored in dedicated vault; no secrets in source code; access controls defined</w:t>
            </w:r>
          </w:p>
        </w:tc>
        <w:tc>
          <w:tcPr>
            <w:tcW w:w="3168" w:type="dxa"/>
          </w:tcPr>
          <w:p w14:paraId="10F08CBB" w14:textId="77777777" w:rsidR="002B6383" w:rsidRDefault="00000000">
            <w:pPr>
              <w:cnfStyle w:val="000000010000" w:firstRow="0" w:lastRow="0" w:firstColumn="0" w:lastColumn="0" w:oddVBand="0" w:evenVBand="0" w:oddHBand="0" w:evenHBand="1" w:firstRowFirstColumn="0" w:firstRowLastColumn="0" w:lastRowFirstColumn="0" w:lastRowLastColumn="0"/>
            </w:pPr>
            <w:r>
              <w:t>Access audit logs; secret rotation compliance</w:t>
            </w:r>
          </w:p>
        </w:tc>
      </w:tr>
      <w:tr w:rsidR="002B6383" w14:paraId="6140782E" w14:textId="77777777" w:rsidTr="002B63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C0DB506" w14:textId="77777777" w:rsidR="002B6383" w:rsidRDefault="00000000">
            <w:r>
              <w:t>Health Monitoring &amp; Alerting</w:t>
            </w:r>
          </w:p>
        </w:tc>
        <w:tc>
          <w:tcPr>
            <w:tcW w:w="2592" w:type="dxa"/>
          </w:tcPr>
          <w:p w14:paraId="14E686B7" w14:textId="77777777" w:rsidR="002B6383" w:rsidRDefault="00000000">
            <w:pPr>
              <w:cnfStyle w:val="000000100000" w:firstRow="0" w:lastRow="0" w:firstColumn="0" w:lastColumn="0" w:oddVBand="0" w:evenVBand="0" w:oddHBand="1" w:evenHBand="0" w:firstRowFirstColumn="0" w:firstRowLastColumn="0" w:lastRowFirstColumn="0" w:lastRowLastColumn="0"/>
            </w:pPr>
            <w:r>
              <w:t>Unrecognised service degradation; prolonged downtime</w:t>
            </w:r>
          </w:p>
        </w:tc>
        <w:tc>
          <w:tcPr>
            <w:tcW w:w="3168" w:type="dxa"/>
          </w:tcPr>
          <w:p w14:paraId="6ACAE4A8" w14:textId="77777777" w:rsidR="002B6383" w:rsidRDefault="00000000">
            <w:pPr>
              <w:cnfStyle w:val="000000100000" w:firstRow="0" w:lastRow="0" w:firstColumn="0" w:lastColumn="0" w:oddVBand="0" w:evenVBand="0" w:oddHBand="1" w:evenHBand="0" w:firstRowFirstColumn="0" w:firstRowLastColumn="0" w:lastRowFirstColumn="0" w:lastRowLastColumn="0"/>
            </w:pPr>
            <w:r>
              <w:t>Health endpoints implemented; alerting thresholds defined based on SLOs</w:t>
            </w:r>
          </w:p>
        </w:tc>
        <w:tc>
          <w:tcPr>
            <w:tcW w:w="3168" w:type="dxa"/>
          </w:tcPr>
          <w:p w14:paraId="04B2FA7E" w14:textId="77777777" w:rsidR="002B6383" w:rsidRDefault="00000000">
            <w:pPr>
              <w:cnfStyle w:val="000000100000" w:firstRow="0" w:lastRow="0" w:firstColumn="0" w:lastColumn="0" w:oddVBand="0" w:evenVBand="0" w:oddHBand="1" w:evenHBand="0" w:firstRowFirstColumn="0" w:firstRowLastColumn="0" w:lastRowFirstColumn="0" w:lastRowLastColumn="0"/>
            </w:pPr>
            <w:r>
              <w:t>Alert volume and response times; SLO compliance</w:t>
            </w:r>
          </w:p>
        </w:tc>
      </w:tr>
      <w:tr w:rsidR="002B6383" w14:paraId="0B4D6854" w14:textId="77777777" w:rsidTr="002B63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14F76B3" w14:textId="77777777" w:rsidR="002B6383" w:rsidRDefault="00000000">
            <w:r>
              <w:t>Rollback Capability</w:t>
            </w:r>
          </w:p>
        </w:tc>
        <w:tc>
          <w:tcPr>
            <w:tcW w:w="2592" w:type="dxa"/>
          </w:tcPr>
          <w:p w14:paraId="60895969" w14:textId="77777777" w:rsidR="002B6383" w:rsidRDefault="00000000">
            <w:pPr>
              <w:cnfStyle w:val="000000010000" w:firstRow="0" w:lastRow="0" w:firstColumn="0" w:lastColumn="0" w:oddVBand="0" w:evenVBand="0" w:oddHBand="0" w:evenHBand="1" w:firstRowFirstColumn="0" w:firstRowLastColumn="0" w:lastRowFirstColumn="0" w:lastRowLastColumn="0"/>
            </w:pPr>
            <w:r>
              <w:t>Extended downtime during failed deployments</w:t>
            </w:r>
          </w:p>
        </w:tc>
        <w:tc>
          <w:tcPr>
            <w:tcW w:w="3168" w:type="dxa"/>
          </w:tcPr>
          <w:p w14:paraId="10380DAE" w14:textId="77777777" w:rsidR="002B6383" w:rsidRDefault="00000000">
            <w:pPr>
              <w:cnfStyle w:val="000000010000" w:firstRow="0" w:lastRow="0" w:firstColumn="0" w:lastColumn="0" w:oddVBand="0" w:evenVBand="0" w:oddHBand="0" w:evenHBand="1" w:firstRowFirstColumn="0" w:firstRowLastColumn="0" w:lastRowFirstColumn="0" w:lastRowLastColumn="0"/>
            </w:pPr>
            <w:r>
              <w:t>Blue-green or canary deployment capability verified in staging; rollback procedure tested</w:t>
            </w:r>
          </w:p>
        </w:tc>
        <w:tc>
          <w:tcPr>
            <w:tcW w:w="3168" w:type="dxa"/>
          </w:tcPr>
          <w:p w14:paraId="517186CE" w14:textId="77777777" w:rsidR="002B6383" w:rsidRDefault="00000000">
            <w:pPr>
              <w:cnfStyle w:val="000000010000" w:firstRow="0" w:lastRow="0" w:firstColumn="0" w:lastColumn="0" w:oddVBand="0" w:evenVBand="0" w:oddHBand="0" w:evenHBand="1" w:firstRowFirstColumn="0" w:firstRowLastColumn="0" w:lastRowFirstColumn="0" w:lastRowLastColumn="0"/>
            </w:pPr>
            <w:r>
              <w:t>Rollback success rate; deployment failure rate</w:t>
            </w:r>
          </w:p>
        </w:tc>
      </w:tr>
      <w:tr w:rsidR="002B6383" w14:paraId="1ACACF1C" w14:textId="77777777" w:rsidTr="002B63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3A809AD" w14:textId="77777777" w:rsidR="002B6383" w:rsidRDefault="00000000">
            <w:r>
              <w:t>Performance Under Load</w:t>
            </w:r>
          </w:p>
        </w:tc>
        <w:tc>
          <w:tcPr>
            <w:tcW w:w="2592" w:type="dxa"/>
          </w:tcPr>
          <w:p w14:paraId="5087FD4D" w14:textId="77777777" w:rsidR="002B6383" w:rsidRDefault="00000000">
            <w:pPr>
              <w:cnfStyle w:val="000000100000" w:firstRow="0" w:lastRow="0" w:firstColumn="0" w:lastColumn="0" w:oddVBand="0" w:evenVBand="0" w:oddHBand="1" w:evenHBand="0" w:firstRowFirstColumn="0" w:firstRowLastColumn="0" w:lastRowFirstColumn="0" w:lastRowLastColumn="0"/>
            </w:pPr>
            <w:r>
              <w:t>Service degradation during peak usage; poor user experience</w:t>
            </w:r>
          </w:p>
        </w:tc>
        <w:tc>
          <w:tcPr>
            <w:tcW w:w="3168" w:type="dxa"/>
          </w:tcPr>
          <w:p w14:paraId="0C0D4972" w14:textId="77777777" w:rsidR="002B6383" w:rsidRDefault="00000000">
            <w:pPr>
              <w:cnfStyle w:val="000000100000" w:firstRow="0" w:lastRow="0" w:firstColumn="0" w:lastColumn="0" w:oddVBand="0" w:evenVBand="0" w:oddHBand="1" w:evenHBand="0" w:firstRowFirstColumn="0" w:firstRowLastColumn="0" w:lastRowFirstColumn="0" w:lastRowLastColumn="0"/>
            </w:pPr>
            <w:r>
              <w:t>Load testing results showing acceptable performance under expected concurrent users</w:t>
            </w:r>
          </w:p>
        </w:tc>
        <w:tc>
          <w:tcPr>
            <w:tcW w:w="3168" w:type="dxa"/>
          </w:tcPr>
          <w:p w14:paraId="74C73F0D" w14:textId="77777777" w:rsidR="002B6383" w:rsidRDefault="00000000">
            <w:pPr>
              <w:cnfStyle w:val="000000100000" w:firstRow="0" w:lastRow="0" w:firstColumn="0" w:lastColumn="0" w:oddVBand="0" w:evenVBand="0" w:oddHBand="1" w:evenHBand="0" w:firstRowFirstColumn="0" w:firstRowLastColumn="0" w:lastRowFirstColumn="0" w:lastRowLastColumn="0"/>
            </w:pPr>
            <w:r>
              <w:t>Response time percentiles; error rate during peak periods</w:t>
            </w:r>
          </w:p>
        </w:tc>
      </w:tr>
      <w:tr w:rsidR="002B6383" w14:paraId="548718B6" w14:textId="77777777" w:rsidTr="002B63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1782289" w14:textId="77777777" w:rsidR="002B6383" w:rsidRDefault="00000000">
            <w:r>
              <w:t>Backup &amp; Recovery Readiness</w:t>
            </w:r>
          </w:p>
        </w:tc>
        <w:tc>
          <w:tcPr>
            <w:tcW w:w="2592" w:type="dxa"/>
          </w:tcPr>
          <w:p w14:paraId="28D1D8E8" w14:textId="77777777" w:rsidR="002B6383" w:rsidRDefault="00000000">
            <w:pPr>
              <w:cnfStyle w:val="000000010000" w:firstRow="0" w:lastRow="0" w:firstColumn="0" w:lastColumn="0" w:oddVBand="0" w:evenVBand="0" w:oddHBand="0" w:evenHBand="1" w:firstRowFirstColumn="0" w:firstRowLastColumn="0" w:lastRowFirstColumn="0" w:lastRowLastColumn="0"/>
            </w:pPr>
            <w:r>
              <w:t>Permanent data loss during infrastructure failure</w:t>
            </w:r>
          </w:p>
        </w:tc>
        <w:tc>
          <w:tcPr>
            <w:tcW w:w="3168" w:type="dxa"/>
          </w:tcPr>
          <w:p w14:paraId="157B0EEE" w14:textId="77777777" w:rsidR="002B6383" w:rsidRDefault="00000000">
            <w:pPr>
              <w:cnfStyle w:val="000000010000" w:firstRow="0" w:lastRow="0" w:firstColumn="0" w:lastColumn="0" w:oddVBand="0" w:evenVBand="0" w:oddHBand="0" w:evenHBand="1" w:firstRowFirstColumn="0" w:firstRowLastColumn="0" w:lastRowFirstColumn="0" w:lastRowLastColumn="0"/>
            </w:pPr>
            <w:r>
              <w:t>Automated backup schedule; recovery procedure documented and tested</w:t>
            </w:r>
          </w:p>
        </w:tc>
        <w:tc>
          <w:tcPr>
            <w:tcW w:w="3168" w:type="dxa"/>
          </w:tcPr>
          <w:p w14:paraId="2CF8815A" w14:textId="77777777" w:rsidR="002B6383" w:rsidRDefault="00000000">
            <w:pPr>
              <w:cnfStyle w:val="000000010000" w:firstRow="0" w:lastRow="0" w:firstColumn="0" w:lastColumn="0" w:oddVBand="0" w:evenVBand="0" w:oddHBand="0" w:evenHBand="1" w:firstRowFirstColumn="0" w:firstRowLastColumn="0" w:lastRowFirstColumn="0" w:lastRowLastColumn="0"/>
            </w:pPr>
            <w:r>
              <w:t>Backup success rate; recovery time objectives met</w:t>
            </w:r>
          </w:p>
        </w:tc>
      </w:tr>
      <w:tr w:rsidR="002B6383" w14:paraId="79817612" w14:textId="77777777" w:rsidTr="002B63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DCBCEBD" w14:textId="77777777" w:rsidR="002B6383" w:rsidRDefault="00000000">
            <w:r>
              <w:t>Security Patch Management</w:t>
            </w:r>
          </w:p>
        </w:tc>
        <w:tc>
          <w:tcPr>
            <w:tcW w:w="2592" w:type="dxa"/>
          </w:tcPr>
          <w:p w14:paraId="6EC71395" w14:textId="77777777" w:rsidR="002B6383" w:rsidRDefault="00000000">
            <w:pPr>
              <w:cnfStyle w:val="000000100000" w:firstRow="0" w:lastRow="0" w:firstColumn="0" w:lastColumn="0" w:oddVBand="0" w:evenVBand="0" w:oddHBand="1" w:evenHBand="0" w:firstRowFirstColumn="0" w:firstRowLastColumn="0" w:lastRowFirstColumn="0" w:lastRowLastColumn="0"/>
            </w:pPr>
            <w:r>
              <w:t xml:space="preserve">Vulnerability exploitation; </w:t>
            </w:r>
            <w:r>
              <w:lastRenderedPageBreak/>
              <w:t>compliance violations</w:t>
            </w:r>
          </w:p>
        </w:tc>
        <w:tc>
          <w:tcPr>
            <w:tcW w:w="3168" w:type="dxa"/>
          </w:tcPr>
          <w:p w14:paraId="66471CAF" w14:textId="77777777" w:rsidR="002B6383"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Patch management process defined; </w:t>
            </w:r>
            <w:r>
              <w:lastRenderedPageBreak/>
              <w:t>vulnerability scanning integrated into pipeline</w:t>
            </w:r>
          </w:p>
        </w:tc>
        <w:tc>
          <w:tcPr>
            <w:tcW w:w="3168" w:type="dxa"/>
          </w:tcPr>
          <w:p w14:paraId="51245298" w14:textId="77777777" w:rsidR="002B6383"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Patch compliance rate; time to patch critical </w:t>
            </w:r>
            <w:r>
              <w:lastRenderedPageBreak/>
              <w:t>vulnerabilities</w:t>
            </w:r>
          </w:p>
        </w:tc>
      </w:tr>
      <w:tr w:rsidR="002B6383" w14:paraId="7C483B3A" w14:textId="77777777" w:rsidTr="002B63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69B7D1B" w14:textId="77777777" w:rsidR="002B6383" w:rsidRDefault="00000000">
            <w:r>
              <w:lastRenderedPageBreak/>
              <w:t>Cost Control &amp; Budget Management</w:t>
            </w:r>
          </w:p>
        </w:tc>
        <w:tc>
          <w:tcPr>
            <w:tcW w:w="2592" w:type="dxa"/>
          </w:tcPr>
          <w:p w14:paraId="461B7CA7" w14:textId="77777777" w:rsidR="002B6383" w:rsidRDefault="00000000">
            <w:pPr>
              <w:cnfStyle w:val="000000010000" w:firstRow="0" w:lastRow="0" w:firstColumn="0" w:lastColumn="0" w:oddVBand="0" w:evenVBand="0" w:oddHBand="0" w:evenHBand="1" w:firstRowFirstColumn="0" w:firstRowLastColumn="0" w:lastRowFirstColumn="0" w:lastRowLastColumn="0"/>
            </w:pPr>
            <w:r>
              <w:t>Uncontrolled cloud spending; project financial risk</w:t>
            </w:r>
          </w:p>
        </w:tc>
        <w:tc>
          <w:tcPr>
            <w:tcW w:w="3168" w:type="dxa"/>
          </w:tcPr>
          <w:p w14:paraId="2789F8A6" w14:textId="77777777" w:rsidR="002B6383" w:rsidRDefault="00000000">
            <w:pPr>
              <w:cnfStyle w:val="000000010000" w:firstRow="0" w:lastRow="0" w:firstColumn="0" w:lastColumn="0" w:oddVBand="0" w:evenVBand="0" w:oddHBand="0" w:evenHBand="1" w:firstRowFirstColumn="0" w:firstRowLastColumn="0" w:lastRowFirstColumn="0" w:lastRowLastColumn="0"/>
            </w:pPr>
            <w:r>
              <w:t>Cost alerts configured; budget limits set; resource tagging implemented</w:t>
            </w:r>
          </w:p>
        </w:tc>
        <w:tc>
          <w:tcPr>
            <w:tcW w:w="3168" w:type="dxa"/>
          </w:tcPr>
          <w:p w14:paraId="7314B3F2" w14:textId="77777777" w:rsidR="002B6383" w:rsidRDefault="00000000">
            <w:pPr>
              <w:cnfStyle w:val="000000010000" w:firstRow="0" w:lastRow="0" w:firstColumn="0" w:lastColumn="0" w:oddVBand="0" w:evenVBand="0" w:oddHBand="0" w:evenHBand="1" w:firstRowFirstColumn="0" w:firstRowLastColumn="0" w:lastRowFirstColumn="0" w:lastRowLastColumn="0"/>
            </w:pPr>
            <w:r>
              <w:t>Actual vs. budgeted spending; resource utilisation efficiency</w:t>
            </w:r>
          </w:p>
        </w:tc>
      </w:tr>
    </w:tbl>
    <w:p w14:paraId="7A152B0F" w14:textId="77777777" w:rsidR="002B6383" w:rsidRDefault="00000000">
      <w:pPr>
        <w:pStyle w:val="Heading2"/>
      </w:pPr>
      <w:r>
        <w:t>7.8 Critical Question Analysis</w:t>
      </w:r>
    </w:p>
    <w:p w14:paraId="1921DC8E" w14:textId="77777777" w:rsidR="002B6383" w:rsidRDefault="00000000">
      <w:r>
        <w:rPr>
          <w:b/>
        </w:rPr>
        <w:t>Why can software that passes functional tests and runs successfully on a developer's machine still be unready for production?</w:t>
      </w:r>
    </w:p>
    <w:p w14:paraId="43170209" w14:textId="77777777" w:rsidR="002B6383" w:rsidRDefault="00000000">
      <w:r>
        <w:t>Functional tests verify that software performs its intended operations under controlled conditions, but production readiness requires evidence that the software will perform reliably, securely, and efficiently under real-world conditions. Several gaps exist between development environment success and production readiness:</w:t>
      </w:r>
    </w:p>
    <w:p w14:paraId="64B5F3ED" w14:textId="77777777" w:rsidR="002B6383" w:rsidRDefault="00000000">
      <w:r>
        <w:rPr>
          <w:b/>
        </w:rPr>
        <w:t xml:space="preserve">1. Environmental Differences: </w:t>
      </w:r>
      <w:r>
        <w:t>Development environments rarely match production hardware specifications, network topology, security configurations, or dependency versions. The "works on my machine" scenario fails to account for production-specific constraints like firewall rules, load balancer configurations, or cloud provider limitations (Kubernetes Documentation, 2024).</w:t>
      </w:r>
    </w:p>
    <w:p w14:paraId="335BB113" w14:textId="77777777" w:rsidR="002B6383" w:rsidRDefault="00000000">
      <w:r>
        <w:rPr>
          <w:b/>
        </w:rPr>
        <w:t xml:space="preserve">2. Scalability Limitations: </w:t>
      </w:r>
      <w:r>
        <w:t>Local testing typically involves minimal concurrent users and data volumes. Production environments must handle peak loads, concurrent user sessions, and database sizes that may be orders of magnitude larger than development environments can simulate (AWS, 2024).</w:t>
      </w:r>
    </w:p>
    <w:p w14:paraId="5FA507E8" w14:textId="77777777" w:rsidR="002B6383" w:rsidRDefault="00000000">
      <w:r>
        <w:rPr>
          <w:b/>
        </w:rPr>
        <w:t xml:space="preserve">3. Operational Requirements: </w:t>
      </w:r>
      <w:r>
        <w:t>Functional tests verify what the software does, but not how it behaves operationally. Production readiness requires evidence of monitoring integration, log aggregation, alert responsiveness, backup functionality, and recovery procedures—none of which are typically exercised in development environments (Google Cloud, 2024).</w:t>
      </w:r>
    </w:p>
    <w:p w14:paraId="592D3F99" w14:textId="77777777" w:rsidR="002B6383" w:rsidRDefault="00000000">
      <w:r>
        <w:rPr>
          <w:b/>
        </w:rPr>
        <w:t xml:space="preserve">4. Security Posture: </w:t>
      </w:r>
      <w:r>
        <w:t>Development environments often have relaxed security controls for convenience. Production environments require proper authentication, authorisation, encryption, and compliance controls that may fundamentally change how the application behaves and communicates (NIST, 2020).</w:t>
      </w:r>
    </w:p>
    <w:p w14:paraId="37EDB523" w14:textId="77777777" w:rsidR="002B6383" w:rsidRDefault="00000000">
      <w:r>
        <w:rPr>
          <w:b/>
        </w:rPr>
        <w:t xml:space="preserve">5. Dependency Management: </w:t>
      </w:r>
      <w:r>
        <w:t>Development machines may have globally installed dependencies that aren't explicitly declared, leading to missing dependencies in production. Containerisation and proper dependency declaration bridge this gap but require specific engineering practices (Red Hat, 2024).</w:t>
      </w:r>
    </w:p>
    <w:p w14:paraId="354AD06A" w14:textId="77777777" w:rsidR="002B6383" w:rsidRDefault="00000000">
      <w:r>
        <w:t>The transition from functional correctness to production readiness represents a shift from "does it work?" to "can we reliably operate it at scale?"—a distinction that requires dedicated engineering evidence beyond passing functional tests.</w:t>
      </w:r>
    </w:p>
    <w:p w14:paraId="122A3E0A" w14:textId="77777777" w:rsidR="002B6383" w:rsidRDefault="00000000">
      <w:r>
        <w:br w:type="page"/>
      </w:r>
    </w:p>
    <w:p w14:paraId="799ABCB4" w14:textId="77777777" w:rsidR="002B6383" w:rsidRDefault="00000000">
      <w:pPr>
        <w:pStyle w:val="Heading1"/>
      </w:pPr>
      <w:r>
        <w:lastRenderedPageBreak/>
        <w:t>8. Question 4 - Research-to-M3 Engineering Map [5]</w:t>
      </w:r>
    </w:p>
    <w:tbl>
      <w:tblPr>
        <w:tblStyle w:val="LightGrid-Accent1"/>
        <w:tblW w:w="0" w:type="auto"/>
        <w:jc w:val="center"/>
        <w:tblLook w:val="04A0" w:firstRow="1" w:lastRow="0" w:firstColumn="1" w:lastColumn="0" w:noHBand="0" w:noVBand="1"/>
      </w:tblPr>
      <w:tblGrid>
        <w:gridCol w:w="1810"/>
        <w:gridCol w:w="1799"/>
        <w:gridCol w:w="2112"/>
        <w:gridCol w:w="1898"/>
        <w:gridCol w:w="1957"/>
      </w:tblGrid>
      <w:tr w:rsidR="002B6383" w14:paraId="5F079221" w14:textId="77777777" w:rsidTr="002B63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D9E2F3"/>
          </w:tcPr>
          <w:p w14:paraId="404632A3" w14:textId="77777777" w:rsidR="002B6383" w:rsidRDefault="00000000">
            <w:r>
              <w:t>Research Finding</w:t>
            </w:r>
          </w:p>
        </w:tc>
        <w:tc>
          <w:tcPr>
            <w:tcW w:w="2160" w:type="dxa"/>
            <w:shd w:val="clear" w:color="auto" w:fill="D9E2F3"/>
          </w:tcPr>
          <w:p w14:paraId="60116AC2" w14:textId="77777777" w:rsidR="002B6383" w:rsidRDefault="00000000">
            <w:pPr>
              <w:cnfStyle w:val="100000000000" w:firstRow="1" w:lastRow="0" w:firstColumn="0" w:lastColumn="0" w:oddVBand="0" w:evenVBand="0" w:oddHBand="0" w:evenHBand="0" w:firstRowFirstColumn="0" w:firstRowLastColumn="0" w:lastRowFirstColumn="0" w:lastRowLastColumn="0"/>
            </w:pPr>
            <w:r>
              <w:t>Engineering Concern It Addresses</w:t>
            </w:r>
          </w:p>
        </w:tc>
        <w:tc>
          <w:tcPr>
            <w:tcW w:w="2592" w:type="dxa"/>
            <w:shd w:val="clear" w:color="auto" w:fill="D9E2F3"/>
          </w:tcPr>
          <w:p w14:paraId="173982A0" w14:textId="77777777" w:rsidR="002B6383" w:rsidRDefault="00000000">
            <w:pPr>
              <w:cnfStyle w:val="100000000000" w:firstRow="1" w:lastRow="0" w:firstColumn="0" w:lastColumn="0" w:oddVBand="0" w:evenVBand="0" w:oddHBand="0" w:evenHBand="0" w:firstRowFirstColumn="0" w:firstRowLastColumn="0" w:lastRowFirstColumn="0" w:lastRowLastColumn="0"/>
            </w:pPr>
            <w:r>
              <w:t>Candidate Approach / Evidence to Consider</w:t>
            </w:r>
          </w:p>
        </w:tc>
        <w:tc>
          <w:tcPr>
            <w:tcW w:w="2304" w:type="dxa"/>
            <w:shd w:val="clear" w:color="auto" w:fill="D9E2F3"/>
          </w:tcPr>
          <w:p w14:paraId="1454E80E" w14:textId="77777777" w:rsidR="002B6383" w:rsidRDefault="00000000">
            <w:pPr>
              <w:cnfStyle w:val="100000000000" w:firstRow="1" w:lastRow="0" w:firstColumn="0" w:lastColumn="0" w:oddVBand="0" w:evenVBand="0" w:oddHBand="0" w:evenHBand="0" w:firstRowFirstColumn="0" w:firstRowLastColumn="0" w:lastRowFirstColumn="0" w:lastRowLastColumn="0"/>
            </w:pPr>
            <w:r>
              <w:t>Trade-off / Limitation Found in Research</w:t>
            </w:r>
          </w:p>
        </w:tc>
        <w:tc>
          <w:tcPr>
            <w:tcW w:w="2304" w:type="dxa"/>
            <w:shd w:val="clear" w:color="auto" w:fill="D9E2F3"/>
          </w:tcPr>
          <w:p w14:paraId="18570FD8" w14:textId="77777777" w:rsidR="002B6383" w:rsidRDefault="00000000">
            <w:pPr>
              <w:cnfStyle w:val="100000000000" w:firstRow="1" w:lastRow="0" w:firstColumn="0" w:lastColumn="0" w:oddVBand="0" w:evenVBand="0" w:oddHBand="0" w:evenHBand="0" w:firstRowFirstColumn="0" w:firstRowLastColumn="0" w:lastRowFirstColumn="0" w:lastRowLastColumn="0"/>
            </w:pPr>
            <w:r>
              <w:t>Decision M3 Must Still Make</w:t>
            </w:r>
          </w:p>
        </w:tc>
      </w:tr>
      <w:tr w:rsidR="002B6383" w14:paraId="1791BF11" w14:textId="77777777" w:rsidTr="002B63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7DF2D3" w14:textId="77777777" w:rsidR="002B6383" w:rsidRDefault="00000000">
            <w:r>
              <w:t>Environment configuration drift creates deployment risk when environments differ substantially.</w:t>
            </w:r>
          </w:p>
        </w:tc>
        <w:tc>
          <w:tcPr>
            <w:tcW w:w="2160" w:type="dxa"/>
          </w:tcPr>
          <w:p w14:paraId="3AD965A4" w14:textId="77777777" w:rsidR="002B6383" w:rsidRDefault="00000000">
            <w:pPr>
              <w:cnfStyle w:val="000000100000" w:firstRow="0" w:lastRow="0" w:firstColumn="0" w:lastColumn="0" w:oddVBand="0" w:evenVBand="0" w:oddHBand="1" w:evenHBand="0" w:firstRowFirstColumn="0" w:firstRowLastColumn="0" w:lastRowFirstColumn="0" w:lastRowLastColumn="0"/>
            </w:pPr>
            <w:r>
              <w:t>Uncontrolled differences between development, staging and production environments can cause "works on my machine" failures.</w:t>
            </w:r>
          </w:p>
        </w:tc>
        <w:tc>
          <w:tcPr>
            <w:tcW w:w="2592" w:type="dxa"/>
          </w:tcPr>
          <w:p w14:paraId="411D0804" w14:textId="77777777" w:rsidR="002B6383" w:rsidRDefault="00000000">
            <w:pPr>
              <w:cnfStyle w:val="000000100000" w:firstRow="0" w:lastRow="0" w:firstColumn="0" w:lastColumn="0" w:oddVBand="0" w:evenVBand="0" w:oddHBand="1" w:evenHBand="0" w:firstRowFirstColumn="0" w:firstRowLastColumn="0" w:lastRowFirstColumn="0" w:lastRowLastColumn="0"/>
            </w:pPr>
            <w:r>
              <w:t>Infrastructure as Code (Terraform) and containerisation (Docker) to enforce environment parity through version-controlled declarative configuration.</w:t>
            </w:r>
          </w:p>
        </w:tc>
        <w:tc>
          <w:tcPr>
            <w:tcW w:w="2304" w:type="dxa"/>
          </w:tcPr>
          <w:p w14:paraId="11C94737" w14:textId="77777777" w:rsidR="002B6383" w:rsidRDefault="00000000">
            <w:pPr>
              <w:cnfStyle w:val="000000100000" w:firstRow="0" w:lastRow="0" w:firstColumn="0" w:lastColumn="0" w:oddVBand="0" w:evenVBand="0" w:oddHBand="1" w:evenHBand="0" w:firstRowFirstColumn="0" w:firstRowLastColumn="0" w:lastRowFirstColumn="0" w:lastRowLastColumn="0"/>
            </w:pPr>
            <w:r>
              <w:t>IaC requires initial learning investment and may slow initial development velocity.</w:t>
            </w:r>
          </w:p>
        </w:tc>
        <w:tc>
          <w:tcPr>
            <w:tcW w:w="2304" w:type="dxa"/>
          </w:tcPr>
          <w:p w14:paraId="71BDC093" w14:textId="77777777" w:rsidR="002B6383" w:rsidRDefault="00000000">
            <w:pPr>
              <w:cnfStyle w:val="000000100000" w:firstRow="0" w:lastRow="0" w:firstColumn="0" w:lastColumn="0" w:oddVBand="0" w:evenVBand="0" w:oddHBand="1" w:evenHBand="0" w:firstRowFirstColumn="0" w:firstRowLastColumn="0" w:lastRowFirstColumn="0" w:lastRowLastColumn="0"/>
            </w:pPr>
            <w:r>
              <w:t>Which IaC tool aligns with CivicConnect's technical stack and team expertise?</w:t>
            </w:r>
          </w:p>
        </w:tc>
      </w:tr>
      <w:tr w:rsidR="002B6383" w14:paraId="1BF2E76D" w14:textId="77777777" w:rsidTr="002B63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5BA5CC" w14:textId="77777777" w:rsidR="002B6383" w:rsidRDefault="00000000">
            <w:r>
              <w:t>Hardcoded secrets in source code create security vulnerabilities and operational risks.</w:t>
            </w:r>
          </w:p>
        </w:tc>
        <w:tc>
          <w:tcPr>
            <w:tcW w:w="2160" w:type="dxa"/>
          </w:tcPr>
          <w:p w14:paraId="4FF46CE8" w14:textId="77777777" w:rsidR="002B6383" w:rsidRDefault="00000000">
            <w:pPr>
              <w:cnfStyle w:val="000000010000" w:firstRow="0" w:lastRow="0" w:firstColumn="0" w:lastColumn="0" w:oddVBand="0" w:evenVBand="0" w:oddHBand="0" w:evenHBand="1" w:firstRowFirstColumn="0" w:firstRowLastColumn="0" w:lastRowFirstColumn="0" w:lastRowLastColumn="0"/>
            </w:pPr>
            <w:r>
              <w:t>Sensitive credentials exposed in version control; inability to rotate credentials without code changes.</w:t>
            </w:r>
          </w:p>
        </w:tc>
        <w:tc>
          <w:tcPr>
            <w:tcW w:w="2592" w:type="dxa"/>
          </w:tcPr>
          <w:p w14:paraId="6F02EC66" w14:textId="77777777" w:rsidR="002B6383" w:rsidRDefault="00000000">
            <w:pPr>
              <w:cnfStyle w:val="000000010000" w:firstRow="0" w:lastRow="0" w:firstColumn="0" w:lastColumn="0" w:oddVBand="0" w:evenVBand="0" w:oddHBand="0" w:evenHBand="1" w:firstRowFirstColumn="0" w:firstRowLastColumn="0" w:lastRowFirstColumn="0" w:lastRowLastColumn="0"/>
            </w:pPr>
            <w:r>
              <w:t>Dedicated secrets management (HashiCorp Vault, Azure Key Vault) with automated rotation and access auditing.</w:t>
            </w:r>
          </w:p>
        </w:tc>
        <w:tc>
          <w:tcPr>
            <w:tcW w:w="2304" w:type="dxa"/>
          </w:tcPr>
          <w:p w14:paraId="5E340960" w14:textId="77777777" w:rsidR="002B6383" w:rsidRDefault="00000000">
            <w:pPr>
              <w:cnfStyle w:val="000000010000" w:firstRow="0" w:lastRow="0" w:firstColumn="0" w:lastColumn="0" w:oddVBand="0" w:evenVBand="0" w:oddHBand="0" w:evenHBand="1" w:firstRowFirstColumn="0" w:firstRowLastColumn="0" w:lastRowFirstColumn="0" w:lastRowLastColumn="0"/>
            </w:pPr>
            <w:r>
              <w:t>Secrets management adds operational complexity and may require additional infrastructure.</w:t>
            </w:r>
          </w:p>
        </w:tc>
        <w:tc>
          <w:tcPr>
            <w:tcW w:w="2304" w:type="dxa"/>
          </w:tcPr>
          <w:p w14:paraId="0D589FB0" w14:textId="77777777" w:rsidR="002B6383" w:rsidRDefault="00000000">
            <w:pPr>
              <w:cnfStyle w:val="000000010000" w:firstRow="0" w:lastRow="0" w:firstColumn="0" w:lastColumn="0" w:oddVBand="0" w:evenVBand="0" w:oddHBand="0" w:evenHBand="1" w:firstRowFirstColumn="0" w:firstRowLastColumn="0" w:lastRowFirstColumn="0" w:lastRowLastColumn="0"/>
            </w:pPr>
            <w:r>
              <w:t>How will secrets be managed given CivicConnect's deployment platform constraints and cost considerations?</w:t>
            </w:r>
          </w:p>
        </w:tc>
      </w:tr>
      <w:tr w:rsidR="002B6383" w14:paraId="35387BBC" w14:textId="77777777" w:rsidTr="002B63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A4F4D2" w14:textId="77777777" w:rsidR="002B6383" w:rsidRDefault="00000000">
            <w:r>
              <w:t>Successful compilation ≠ successful deployment; health verification is essential.</w:t>
            </w:r>
          </w:p>
        </w:tc>
        <w:tc>
          <w:tcPr>
            <w:tcW w:w="2160" w:type="dxa"/>
          </w:tcPr>
          <w:p w14:paraId="63510D47" w14:textId="77777777" w:rsidR="002B6383" w:rsidRDefault="00000000">
            <w:pPr>
              <w:cnfStyle w:val="000000100000" w:firstRow="0" w:lastRow="0" w:firstColumn="0" w:lastColumn="0" w:oddVBand="0" w:evenVBand="0" w:oddHBand="1" w:evenHBand="0" w:firstRowFirstColumn="0" w:firstRowLastColumn="0" w:lastRowFirstColumn="0" w:lastRowLastColumn="0"/>
            </w:pPr>
            <w:r>
              <w:t>Deployment failures may go undetected if only build success is monitored.</w:t>
            </w:r>
          </w:p>
        </w:tc>
        <w:tc>
          <w:tcPr>
            <w:tcW w:w="2592" w:type="dxa"/>
          </w:tcPr>
          <w:p w14:paraId="377759B3" w14:textId="77777777" w:rsidR="002B6383" w:rsidRDefault="00000000">
            <w:pPr>
              <w:cnfStyle w:val="000000100000" w:firstRow="0" w:lastRow="0" w:firstColumn="0" w:lastColumn="0" w:oddVBand="0" w:evenVBand="0" w:oddHBand="1" w:evenHBand="0" w:firstRowFirstColumn="0" w:firstRowLastColumn="0" w:lastRowFirstColumn="0" w:lastRowLastColumn="0"/>
            </w:pPr>
            <w:r>
              <w:t>CI/CD pipelines with automated deployment validation including health checks, readiness probes, and smoke tests.</w:t>
            </w:r>
          </w:p>
        </w:tc>
        <w:tc>
          <w:tcPr>
            <w:tcW w:w="2304" w:type="dxa"/>
          </w:tcPr>
          <w:p w14:paraId="78B8F9FF" w14:textId="77777777" w:rsidR="002B6383" w:rsidRDefault="00000000">
            <w:pPr>
              <w:cnfStyle w:val="000000100000" w:firstRow="0" w:lastRow="0" w:firstColumn="0" w:lastColumn="0" w:oddVBand="0" w:evenVBand="0" w:oddHBand="1" w:evenHBand="0" w:firstRowFirstColumn="0" w:firstRowLastColumn="0" w:lastRowFirstColumn="0" w:lastRowLastColumn="0"/>
            </w:pPr>
            <w:r>
              <w:t>Pipeline complexity can obscure root causes; over-reliance on automation may miss configuration-specific issues.</w:t>
            </w:r>
          </w:p>
        </w:tc>
        <w:tc>
          <w:tcPr>
            <w:tcW w:w="2304" w:type="dxa"/>
          </w:tcPr>
          <w:p w14:paraId="6B5BA0E6" w14:textId="77777777" w:rsidR="002B6383" w:rsidRDefault="00000000">
            <w:pPr>
              <w:cnfStyle w:val="000000100000" w:firstRow="0" w:lastRow="0" w:firstColumn="0" w:lastColumn="0" w:oddVBand="0" w:evenVBand="0" w:oddHBand="1" w:evenHBand="0" w:firstRowFirstColumn="0" w:firstRowLastColumn="0" w:lastRowFirstColumn="0" w:lastRowLastColumn="0"/>
            </w:pPr>
            <w:r>
              <w:t>What deployment validation steps (health checks, readiness probes) are most critical for CivicConnect's architecture?</w:t>
            </w:r>
          </w:p>
        </w:tc>
      </w:tr>
      <w:tr w:rsidR="002B6383" w14:paraId="41870355" w14:textId="77777777" w:rsidTr="002B63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EFAF97" w14:textId="77777777" w:rsidR="002B6383" w:rsidRDefault="00000000">
            <w:r>
              <w:t>Rollback capability mitigates deployment failure impact but requires specific engineering.</w:t>
            </w:r>
          </w:p>
        </w:tc>
        <w:tc>
          <w:tcPr>
            <w:tcW w:w="2160" w:type="dxa"/>
          </w:tcPr>
          <w:p w14:paraId="50301AF5" w14:textId="77777777" w:rsidR="002B6383" w:rsidRDefault="00000000">
            <w:pPr>
              <w:cnfStyle w:val="000000010000" w:firstRow="0" w:lastRow="0" w:firstColumn="0" w:lastColumn="0" w:oddVBand="0" w:evenVBand="0" w:oddHBand="0" w:evenHBand="1" w:firstRowFirstColumn="0" w:firstRowLastColumn="0" w:lastRowFirstColumn="0" w:lastRowLastColumn="0"/>
            </w:pPr>
            <w:r>
              <w:t>Failed deployments without rollback options can cause extended downtime.</w:t>
            </w:r>
          </w:p>
        </w:tc>
        <w:tc>
          <w:tcPr>
            <w:tcW w:w="2592" w:type="dxa"/>
          </w:tcPr>
          <w:p w14:paraId="60870072" w14:textId="77777777" w:rsidR="002B6383" w:rsidRDefault="00000000">
            <w:pPr>
              <w:cnfStyle w:val="000000010000" w:firstRow="0" w:lastRow="0" w:firstColumn="0" w:lastColumn="0" w:oddVBand="0" w:evenVBand="0" w:oddHBand="0" w:evenHBand="1" w:firstRowFirstColumn="0" w:firstRowLastColumn="0" w:lastRowFirstColumn="0" w:lastRowLastColumn="0"/>
            </w:pPr>
            <w:r>
              <w:t>Blue-green deployments or canary releases with automated traffic switching and rollback procedures.</w:t>
            </w:r>
          </w:p>
        </w:tc>
        <w:tc>
          <w:tcPr>
            <w:tcW w:w="2304" w:type="dxa"/>
          </w:tcPr>
          <w:p w14:paraId="3628EE48" w14:textId="77777777" w:rsidR="002B6383" w:rsidRDefault="00000000">
            <w:pPr>
              <w:cnfStyle w:val="000000010000" w:firstRow="0" w:lastRow="0" w:firstColumn="0" w:lastColumn="0" w:oddVBand="0" w:evenVBand="0" w:oddHBand="0" w:evenHBand="1" w:firstRowFirstColumn="0" w:firstRowLastColumn="0" w:lastRowFirstColumn="0" w:lastRowLastColumn="0"/>
            </w:pPr>
            <w:r>
              <w:t>Blue-green requires duplicate infrastructure; canary releases delay full user exposure.</w:t>
            </w:r>
          </w:p>
        </w:tc>
        <w:tc>
          <w:tcPr>
            <w:tcW w:w="2304" w:type="dxa"/>
          </w:tcPr>
          <w:p w14:paraId="5B4A03F7" w14:textId="77777777" w:rsidR="002B6383" w:rsidRDefault="00000000">
            <w:pPr>
              <w:cnfStyle w:val="000000010000" w:firstRow="0" w:lastRow="0" w:firstColumn="0" w:lastColumn="0" w:oddVBand="0" w:evenVBand="0" w:oddHBand="0" w:evenHBand="1" w:firstRowFirstColumn="0" w:firstRowLastColumn="0" w:lastRowFirstColumn="0" w:lastRowLastColumn="0"/>
            </w:pPr>
            <w:r>
              <w:t>What rollback strategy balances risk mitigation with CivicConnect's infrastructure constraints?</w:t>
            </w:r>
          </w:p>
        </w:tc>
      </w:tr>
      <w:tr w:rsidR="002B6383" w14:paraId="5E222057" w14:textId="77777777" w:rsidTr="002B63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979D3B" w14:textId="77777777" w:rsidR="002B6383" w:rsidRDefault="00000000">
            <w:r>
              <w:t xml:space="preserve">Monitoring without SLO-based alerting produces alert fatigue without improving operational </w:t>
            </w:r>
            <w:r>
              <w:lastRenderedPageBreak/>
              <w:t>awareness.</w:t>
            </w:r>
          </w:p>
        </w:tc>
        <w:tc>
          <w:tcPr>
            <w:tcW w:w="2160" w:type="dxa"/>
          </w:tcPr>
          <w:p w14:paraId="1A77D9F8" w14:textId="77777777" w:rsidR="002B6383" w:rsidRDefault="00000000">
            <w:pPr>
              <w:cnfStyle w:val="000000100000" w:firstRow="0" w:lastRow="0" w:firstColumn="0" w:lastColumn="0" w:oddVBand="0" w:evenVBand="0" w:oddHBand="1" w:evenHBand="0" w:firstRowFirstColumn="0" w:firstRowLastColumn="0" w:lastRowFirstColumn="0" w:lastRowLastColumn="0"/>
            </w:pPr>
            <w:r>
              <w:lastRenderedPageBreak/>
              <w:t>Alert fatigue from irrelevant notifications; missed critical incidents.</w:t>
            </w:r>
          </w:p>
        </w:tc>
        <w:tc>
          <w:tcPr>
            <w:tcW w:w="2592" w:type="dxa"/>
          </w:tcPr>
          <w:p w14:paraId="02F1CA8D" w14:textId="77777777" w:rsidR="002B6383" w:rsidRDefault="00000000">
            <w:pPr>
              <w:cnfStyle w:val="000000100000" w:firstRow="0" w:lastRow="0" w:firstColumn="0" w:lastColumn="0" w:oddVBand="0" w:evenVBand="0" w:oddHBand="1" w:evenHBand="0" w:firstRowFirstColumn="0" w:firstRowLastColumn="0" w:lastRowFirstColumn="0" w:lastRowLastColumn="0"/>
            </w:pPr>
            <w:r>
              <w:t xml:space="preserve">Define Service Level Objectives (SLOs) for key user journeys and configure alerts based on SLO breaches rather </w:t>
            </w:r>
            <w:r>
              <w:lastRenderedPageBreak/>
              <w:t>than arbitrary thresholds.</w:t>
            </w:r>
          </w:p>
        </w:tc>
        <w:tc>
          <w:tcPr>
            <w:tcW w:w="2304" w:type="dxa"/>
          </w:tcPr>
          <w:p w14:paraId="10F43354" w14:textId="77777777" w:rsidR="002B6383" w:rsidRDefault="00000000">
            <w:pPr>
              <w:cnfStyle w:val="000000100000" w:firstRow="0" w:lastRow="0" w:firstColumn="0" w:lastColumn="0" w:oddVBand="0" w:evenVBand="0" w:oddHBand="1" w:evenHBand="0" w:firstRowFirstColumn="0" w:firstRowLastColumn="0" w:lastRowFirstColumn="0" w:lastRowLastColumn="0"/>
            </w:pPr>
            <w:r>
              <w:lastRenderedPageBreak/>
              <w:t>SLO definition requires historical performance data that may not exist for new systems.</w:t>
            </w:r>
          </w:p>
        </w:tc>
        <w:tc>
          <w:tcPr>
            <w:tcW w:w="2304" w:type="dxa"/>
          </w:tcPr>
          <w:p w14:paraId="0361E886" w14:textId="77777777" w:rsidR="002B6383" w:rsidRDefault="00000000">
            <w:pPr>
              <w:cnfStyle w:val="000000100000" w:firstRow="0" w:lastRow="0" w:firstColumn="0" w:lastColumn="0" w:oddVBand="0" w:evenVBand="0" w:oddHBand="1" w:evenHBand="0" w:firstRowFirstColumn="0" w:firstRowLastColumn="0" w:lastRowFirstColumn="0" w:lastRowLastColumn="0"/>
            </w:pPr>
            <w:r>
              <w:t>What SLOs are appropriate for CivicConnect given stakeholder expectations and technical constraints?</w:t>
            </w:r>
          </w:p>
        </w:tc>
      </w:tr>
      <w:tr w:rsidR="002B6383" w14:paraId="28913D84" w14:textId="77777777" w:rsidTr="002B63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3F8444" w14:textId="77777777" w:rsidR="002B6383" w:rsidRDefault="00000000">
            <w:r>
              <w:t>Cost control requires proactive monitoring in consumption-based cloud environments.</w:t>
            </w:r>
          </w:p>
        </w:tc>
        <w:tc>
          <w:tcPr>
            <w:tcW w:w="2160" w:type="dxa"/>
          </w:tcPr>
          <w:p w14:paraId="45C21CAA" w14:textId="77777777" w:rsidR="002B6383" w:rsidRDefault="00000000">
            <w:pPr>
              <w:cnfStyle w:val="000000010000" w:firstRow="0" w:lastRow="0" w:firstColumn="0" w:lastColumn="0" w:oddVBand="0" w:evenVBand="0" w:oddHBand="0" w:evenHBand="1" w:firstRowFirstColumn="0" w:firstRowLastColumn="0" w:lastRowFirstColumn="0" w:lastRowLastColumn="0"/>
            </w:pPr>
            <w:r>
              <w:t>Uncontrolled cloud spending can exceed project budgets without warning.</w:t>
            </w:r>
          </w:p>
        </w:tc>
        <w:tc>
          <w:tcPr>
            <w:tcW w:w="2592" w:type="dxa"/>
          </w:tcPr>
          <w:p w14:paraId="42D2782E" w14:textId="77777777" w:rsidR="002B6383" w:rsidRDefault="00000000">
            <w:pPr>
              <w:cnfStyle w:val="000000010000" w:firstRow="0" w:lastRow="0" w:firstColumn="0" w:lastColumn="0" w:oddVBand="0" w:evenVBand="0" w:oddHBand="0" w:evenHBand="1" w:firstRowFirstColumn="0" w:firstRowLastColumn="0" w:lastRowFirstColumn="0" w:lastRowLastColumn="0"/>
            </w:pPr>
            <w:r>
              <w:t>Resource tagging, budget alerts, and automated scaling policies based on utilisation metrics.</w:t>
            </w:r>
          </w:p>
        </w:tc>
        <w:tc>
          <w:tcPr>
            <w:tcW w:w="2304" w:type="dxa"/>
          </w:tcPr>
          <w:p w14:paraId="1F594F0F" w14:textId="77777777" w:rsidR="002B6383" w:rsidRDefault="00000000">
            <w:pPr>
              <w:cnfStyle w:val="000000010000" w:firstRow="0" w:lastRow="0" w:firstColumn="0" w:lastColumn="0" w:oddVBand="0" w:evenVBand="0" w:oddHBand="0" w:evenHBand="1" w:firstRowFirstColumn="0" w:firstRowLastColumn="0" w:lastRowFirstColumn="0" w:lastRowLastColumn="0"/>
            </w:pPr>
            <w:r>
              <w:t>Cost optimisation may conflict with performance requirements; aggressive scaling may impact user experience during rapid load changes.</w:t>
            </w:r>
          </w:p>
        </w:tc>
        <w:tc>
          <w:tcPr>
            <w:tcW w:w="2304" w:type="dxa"/>
          </w:tcPr>
          <w:p w14:paraId="403ABDD4" w14:textId="77777777" w:rsidR="002B6383" w:rsidRDefault="00000000">
            <w:pPr>
              <w:cnfStyle w:val="000000010000" w:firstRow="0" w:lastRow="0" w:firstColumn="0" w:lastColumn="0" w:oddVBand="0" w:evenVBand="0" w:oddHBand="0" w:evenHBand="1" w:firstRowFirstColumn="0" w:firstRowLastColumn="0" w:lastRowFirstColumn="0" w:lastRowLastColumn="0"/>
            </w:pPr>
            <w:r>
              <w:t>What cost monitoring approach aligns with CivicConnect's funding model while maintaining adequate performance?</w:t>
            </w:r>
          </w:p>
        </w:tc>
      </w:tr>
      <w:tr w:rsidR="002B6383" w14:paraId="2BFC6752" w14:textId="77777777" w:rsidTr="002B63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F1C013" w14:textId="77777777" w:rsidR="002B6383" w:rsidRDefault="00000000">
            <w:r>
              <w:t>Backup procedures must be tested, not just documented.</w:t>
            </w:r>
          </w:p>
        </w:tc>
        <w:tc>
          <w:tcPr>
            <w:tcW w:w="2160" w:type="dxa"/>
          </w:tcPr>
          <w:p w14:paraId="636291E9" w14:textId="77777777" w:rsidR="002B6383" w:rsidRDefault="00000000">
            <w:pPr>
              <w:cnfStyle w:val="000000100000" w:firstRow="0" w:lastRow="0" w:firstColumn="0" w:lastColumn="0" w:oddVBand="0" w:evenVBand="0" w:oddHBand="1" w:evenHBand="0" w:firstRowFirstColumn="0" w:firstRowLastColumn="0" w:lastRowFirstColumn="0" w:lastRowLastColumn="0"/>
            </w:pPr>
            <w:r>
              <w:t>Untested backup procedures may fail when most needed, leading to permanent data loss.</w:t>
            </w:r>
          </w:p>
        </w:tc>
        <w:tc>
          <w:tcPr>
            <w:tcW w:w="2592" w:type="dxa"/>
          </w:tcPr>
          <w:p w14:paraId="57847EE5" w14:textId="77777777" w:rsidR="002B6383" w:rsidRDefault="00000000">
            <w:pPr>
              <w:cnfStyle w:val="000000100000" w:firstRow="0" w:lastRow="0" w:firstColumn="0" w:lastColumn="0" w:oddVBand="0" w:evenVBand="0" w:oddHBand="1" w:evenHBand="0" w:firstRowFirstColumn="0" w:firstRowLastColumn="0" w:lastRowFirstColumn="0" w:lastRowLastColumn="0"/>
            </w:pPr>
            <w:r>
              <w:t>Regular backup restoration tests in staging environments; automated verification of backup integrity and recoverability.</w:t>
            </w:r>
          </w:p>
        </w:tc>
        <w:tc>
          <w:tcPr>
            <w:tcW w:w="2304" w:type="dxa"/>
          </w:tcPr>
          <w:p w14:paraId="1104FC93" w14:textId="77777777" w:rsidR="002B6383" w:rsidRDefault="00000000">
            <w:pPr>
              <w:cnfStyle w:val="000000100000" w:firstRow="0" w:lastRow="0" w:firstColumn="0" w:lastColumn="0" w:oddVBand="0" w:evenVBand="0" w:oddHBand="1" w:evenHBand="0" w:firstRowFirstColumn="0" w:firstRowLastColumn="0" w:lastRowFirstColumn="0" w:lastRowLastColumn="0"/>
            </w:pPr>
            <w:r>
              <w:t>Backup testing consumes resources and may temporarily impact test environment availability.</w:t>
            </w:r>
          </w:p>
        </w:tc>
        <w:tc>
          <w:tcPr>
            <w:tcW w:w="2304" w:type="dxa"/>
          </w:tcPr>
          <w:p w14:paraId="075A3DAA" w14:textId="77777777" w:rsidR="002B6383" w:rsidRDefault="00000000">
            <w:pPr>
              <w:cnfStyle w:val="000000100000" w:firstRow="0" w:lastRow="0" w:firstColumn="0" w:lastColumn="0" w:oddVBand="0" w:evenVBand="0" w:oddHBand="1" w:evenHBand="0" w:firstRowFirstColumn="0" w:firstRowLastColumn="0" w:lastRowFirstColumn="0" w:lastRowLastColumn="0"/>
            </w:pPr>
            <w:r>
              <w:t>How frequently should backup restoration tests be conducted given CivicConnect's data criticality and change frequency?</w:t>
            </w:r>
          </w:p>
        </w:tc>
      </w:tr>
      <w:tr w:rsidR="002B6383" w14:paraId="392F5779" w14:textId="77777777" w:rsidTr="002B63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146FFC" w14:textId="77777777" w:rsidR="002B6383" w:rsidRDefault="00000000">
            <w:r>
              <w:t>Performance under load differs from single-user functional testing.</w:t>
            </w:r>
          </w:p>
        </w:tc>
        <w:tc>
          <w:tcPr>
            <w:tcW w:w="2160" w:type="dxa"/>
          </w:tcPr>
          <w:p w14:paraId="6418DD0D" w14:textId="77777777" w:rsidR="002B6383" w:rsidRDefault="00000000">
            <w:pPr>
              <w:cnfStyle w:val="000000010000" w:firstRow="0" w:lastRow="0" w:firstColumn="0" w:lastColumn="0" w:oddVBand="0" w:evenVBand="0" w:oddHBand="0" w:evenHBand="1" w:firstRowFirstColumn="0" w:firstRowLastColumn="0" w:lastRowFirstColumn="0" w:lastRowLastColumn="0"/>
            </w:pPr>
            <w:r>
              <w:t>Performance degradation only manifests at scale, after deployment.</w:t>
            </w:r>
          </w:p>
        </w:tc>
        <w:tc>
          <w:tcPr>
            <w:tcW w:w="2592" w:type="dxa"/>
          </w:tcPr>
          <w:p w14:paraId="28E53901" w14:textId="77777777" w:rsidR="002B6383" w:rsidRDefault="00000000">
            <w:pPr>
              <w:cnfStyle w:val="000000010000" w:firstRow="0" w:lastRow="0" w:firstColumn="0" w:lastColumn="0" w:oddVBand="0" w:evenVBand="0" w:oddHBand="0" w:evenHBand="1" w:firstRowFirstColumn="0" w:firstRowLastColumn="0" w:lastRowFirstColumn="0" w:lastRowLastColumn="0"/>
            </w:pPr>
            <w:r>
              <w:t>Production-like load testing with realistic concurrency patterns and data volumes.</w:t>
            </w:r>
          </w:p>
        </w:tc>
        <w:tc>
          <w:tcPr>
            <w:tcW w:w="2304" w:type="dxa"/>
          </w:tcPr>
          <w:p w14:paraId="7CC8A9CF" w14:textId="77777777" w:rsidR="002B6383" w:rsidRDefault="00000000">
            <w:pPr>
              <w:cnfStyle w:val="000000010000" w:firstRow="0" w:lastRow="0" w:firstColumn="0" w:lastColumn="0" w:oddVBand="0" w:evenVBand="0" w:oddHBand="0" w:evenHBand="1" w:firstRowFirstColumn="0" w:firstRowLastColumn="0" w:lastRowFirstColumn="0" w:lastRowLastColumn="0"/>
            </w:pPr>
            <w:r>
              <w:t>Load testing requires substantial test data generation and may not capture all production usage patterns.</w:t>
            </w:r>
          </w:p>
        </w:tc>
        <w:tc>
          <w:tcPr>
            <w:tcW w:w="2304" w:type="dxa"/>
          </w:tcPr>
          <w:p w14:paraId="39277139" w14:textId="77777777" w:rsidR="002B6383" w:rsidRDefault="00000000">
            <w:pPr>
              <w:cnfStyle w:val="000000010000" w:firstRow="0" w:lastRow="0" w:firstColumn="0" w:lastColumn="0" w:oddVBand="0" w:evenVBand="0" w:oddHBand="0" w:evenHBand="1" w:firstRowFirstColumn="0" w:firstRowLastColumn="0" w:lastRowFirstColumn="0" w:lastRowLastColumn="0"/>
            </w:pPr>
            <w:r>
              <w:t>What constitutes "production-like" load for CivicConnect given expected user growth patterns?</w:t>
            </w:r>
          </w:p>
        </w:tc>
      </w:tr>
    </w:tbl>
    <w:p w14:paraId="683B8689" w14:textId="77777777" w:rsidR="002B6383" w:rsidRDefault="00000000">
      <w:r>
        <w:br w:type="page"/>
      </w:r>
    </w:p>
    <w:p w14:paraId="4EA51DD8" w14:textId="77777777" w:rsidR="002B6383" w:rsidRDefault="00000000">
      <w:pPr>
        <w:pStyle w:val="Heading1"/>
      </w:pPr>
      <w:r>
        <w:lastRenderedPageBreak/>
        <w:t>References</w:t>
      </w:r>
    </w:p>
    <w:p w14:paraId="2F76CCC6" w14:textId="77777777" w:rsidR="002B6383" w:rsidRDefault="00000000">
      <w:pPr>
        <w:pStyle w:val="ListNumber"/>
      </w:pPr>
      <w:r>
        <w:t>American National Standards Institute/INCITS. (2004). Role Based Access Control. ANSI/INCITS 359-2004.</w:t>
      </w:r>
    </w:p>
    <w:p w14:paraId="7B9A9195" w14:textId="77777777" w:rsidR="002B6383" w:rsidRDefault="00000000">
      <w:pPr>
        <w:pStyle w:val="ListNumber"/>
      </w:pPr>
      <w:r>
        <w:t>Atlassian. (2024). Continuous Integration vs. Continuous Deployment. Retrieved from https://www.atlassian.com/continuous-delivery/ci-vs-ci-vs-cd</w:t>
      </w:r>
    </w:p>
    <w:p w14:paraId="73CFF02B" w14:textId="77777777" w:rsidR="002B6383" w:rsidRDefault="00000000">
      <w:pPr>
        <w:pStyle w:val="ListNumber"/>
      </w:pPr>
      <w:r>
        <w:t>AWS. (2024). Blue/Green Deployments on AWS. Retrieved from https://docs.aws.amazon.com/whitepapers/latest/overview-deployment-options/bluegreen-deployments.html</w:t>
      </w:r>
    </w:p>
    <w:p w14:paraId="0B3DA952" w14:textId="77777777" w:rsidR="002B6383" w:rsidRDefault="00000000">
      <w:pPr>
        <w:pStyle w:val="ListNumber"/>
      </w:pPr>
      <w:r>
        <w:t>AWS. (2024). AWS Well-Architected Framework: Performance Efficiency Pillar. Retrieved from https://docs.aws.amazon.com/wellarchitected/latest/performance-efficiency-pillar/welcome.html</w:t>
      </w:r>
    </w:p>
    <w:p w14:paraId="57956077" w14:textId="77777777" w:rsidR="002B6383" w:rsidRDefault="00000000">
      <w:pPr>
        <w:pStyle w:val="ListNumber"/>
      </w:pPr>
      <w:r>
        <w:t>Elastic. (2024). Structured Logging Best Practices. Retrieved from https://www.elastic.co/guide/en/ecs/current/ecs-logging.html</w:t>
      </w:r>
    </w:p>
    <w:p w14:paraId="18A29F7B" w14:textId="77777777" w:rsidR="002B6383" w:rsidRDefault="00000000">
      <w:pPr>
        <w:pStyle w:val="ListNumber"/>
      </w:pPr>
      <w:r>
        <w:t>Flyway. (2024). Database Migrations Made Easy. Retrieved from https://flywaydb.org/</w:t>
      </w:r>
    </w:p>
    <w:p w14:paraId="31CCFAE4" w14:textId="77777777" w:rsidR="002B6383" w:rsidRDefault="00000000">
      <w:pPr>
        <w:pStyle w:val="ListNumber"/>
      </w:pPr>
      <w:r>
        <w:t>Google Cloud. (2024). Building Secure and Reliable Systems. Retrieved from https://cloud.google.com/architecture/framework/security/reliability</w:t>
      </w:r>
    </w:p>
    <w:p w14:paraId="1FC1C210" w14:textId="77777777" w:rsidR="002B6383" w:rsidRDefault="00000000">
      <w:pPr>
        <w:pStyle w:val="ListNumber"/>
      </w:pPr>
      <w:r>
        <w:t>Google Cloud. (2024). Site Reliability Engineering: Implementing SLOs. Retrieved from https://cloud.google.com/blog/products/devops-sre/implementing-slos-for-services-with-google-cloud-monitoring</w:t>
      </w:r>
    </w:p>
    <w:p w14:paraId="673EB35B" w14:textId="77777777" w:rsidR="002B6383" w:rsidRDefault="00000000">
      <w:pPr>
        <w:pStyle w:val="ListNumber"/>
      </w:pPr>
      <w:r>
        <w:t>HashiCorp. (2024). Vault: Secrets Management. Retrieved from https://www.hashicorp.com/products/vault</w:t>
      </w:r>
    </w:p>
    <w:p w14:paraId="6B739833" w14:textId="77777777" w:rsidR="002B6383" w:rsidRDefault="00000000">
      <w:pPr>
        <w:pStyle w:val="ListNumber"/>
      </w:pPr>
      <w:r>
        <w:t>Heroku. (2024). The Twelve-Factor App. Retrieved from https://12factor.net/</w:t>
      </w:r>
    </w:p>
    <w:p w14:paraId="4CA2DD2E" w14:textId="77777777" w:rsidR="002B6383" w:rsidRDefault="00000000">
      <w:pPr>
        <w:pStyle w:val="ListNumber"/>
      </w:pPr>
      <w:r>
        <w:t>ISO/IEC 25010. (2011). Systems and software engineering — Systems and software Quality Requirements and Evaluation (SQuaRE) — System and software quality models.</w:t>
      </w:r>
    </w:p>
    <w:p w14:paraId="1F0C02E8" w14:textId="77777777" w:rsidR="002B6383" w:rsidRDefault="00000000">
      <w:pPr>
        <w:pStyle w:val="ListNumber"/>
      </w:pPr>
      <w:r>
        <w:t>Kubernetes Documentation. (2024). Configure Liveness, Readiness and Startup Probes. Retrieved from https://kubernetes.io/docs/tasks/configure-pod-container/configure-liveness-readiness-startup-probes/</w:t>
      </w:r>
    </w:p>
    <w:p w14:paraId="2AD845EA" w14:textId="77777777" w:rsidR="002B6383" w:rsidRDefault="00000000">
      <w:pPr>
        <w:pStyle w:val="ListNumber"/>
      </w:pPr>
      <w:r>
        <w:t>Microsoft. (2024). Performance Testing Guidance. Retrieved from https://docs.microsoft.com/en-us/azure/architecture/guide/design-principles/performance-efficiency</w:t>
      </w:r>
    </w:p>
    <w:p w14:paraId="45FEEE5C" w14:textId="77777777" w:rsidR="002B6383" w:rsidRDefault="00000000">
      <w:pPr>
        <w:pStyle w:val="ListNumber"/>
      </w:pPr>
      <w:r>
        <w:t>Microsoft Azure. (2024). What is Infrastructure as Code? Retrieved from https://docs.microsoft.com/en-us/azure/devops/learn/what-is-infrastructure-as-code</w:t>
      </w:r>
    </w:p>
    <w:p w14:paraId="600B1CC8" w14:textId="77777777" w:rsidR="002B6383" w:rsidRDefault="00000000">
      <w:pPr>
        <w:pStyle w:val="ListNumber"/>
      </w:pPr>
      <w:r>
        <w:t>NIST. (2020). Security and Privacy Controls for Information Systems and Organizations. NIST Special Publication 800-53 Revision 5.</w:t>
      </w:r>
    </w:p>
    <w:p w14:paraId="255C0AEF" w14:textId="77777777" w:rsidR="002B6383" w:rsidRDefault="00000000">
      <w:pPr>
        <w:pStyle w:val="ListNumber"/>
      </w:pPr>
      <w:r>
        <w:t>OpenTelemetry. (2024). What is OpenTelemetry? Retrieved from https://opentelemetry.io/docs/</w:t>
      </w:r>
    </w:p>
    <w:p w14:paraId="571C4A57" w14:textId="77777777" w:rsidR="002B6383" w:rsidRDefault="00000000">
      <w:pPr>
        <w:pStyle w:val="ListNumber"/>
      </w:pPr>
      <w:r>
        <w:t>Red Hat. (2024). What is a Container? Retrieved from https://www.redhat.com/en/topics/containers/what-is-a-container</w:t>
      </w:r>
    </w:p>
    <w:p w14:paraId="735CCB70" w14:textId="77777777" w:rsidR="002B6383" w:rsidRDefault="00000000">
      <w:pPr>
        <w:pStyle w:val="ListNumber"/>
      </w:pPr>
      <w:r>
        <w:t>Red Hat. (2024). IT Operations and Supportability. Retrieved from https://www.redhat.com/en/topics/it-operations</w:t>
      </w:r>
    </w:p>
    <w:p w14:paraId="49F56DBD" w14:textId="77777777" w:rsidR="002B6383" w:rsidRDefault="00000000">
      <w:r>
        <w:br w:type="page"/>
      </w:r>
    </w:p>
    <w:p w14:paraId="677FD4C8" w14:textId="77777777" w:rsidR="002B6383" w:rsidRDefault="00000000">
      <w:pPr>
        <w:pStyle w:val="Heading1"/>
      </w:pPr>
      <w:r>
        <w:lastRenderedPageBreak/>
        <w:t>AI Research &amp; Verification Record</w:t>
      </w:r>
    </w:p>
    <w:tbl>
      <w:tblPr>
        <w:tblStyle w:val="LightGrid-Accent1"/>
        <w:tblW w:w="0" w:type="auto"/>
        <w:jc w:val="center"/>
        <w:tblLook w:val="04A0" w:firstRow="1" w:lastRow="0" w:firstColumn="1" w:lastColumn="0" w:noHBand="0" w:noVBand="1"/>
      </w:tblPr>
      <w:tblGrid>
        <w:gridCol w:w="1373"/>
        <w:gridCol w:w="1644"/>
        <w:gridCol w:w="1559"/>
        <w:gridCol w:w="1328"/>
        <w:gridCol w:w="1768"/>
        <w:gridCol w:w="1904"/>
      </w:tblGrid>
      <w:tr w:rsidR="002B6383" w14:paraId="55DBAD4B" w14:textId="77777777" w:rsidTr="002B63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shd w:val="clear" w:color="auto" w:fill="D9E2F3"/>
          </w:tcPr>
          <w:p w14:paraId="2E12F6CA" w14:textId="77777777" w:rsidR="002B6383" w:rsidRDefault="00000000">
            <w:r>
              <w:t>Team Member</w:t>
            </w:r>
          </w:p>
        </w:tc>
        <w:tc>
          <w:tcPr>
            <w:tcW w:w="1560" w:type="dxa"/>
            <w:shd w:val="clear" w:color="auto" w:fill="D9E2F3"/>
          </w:tcPr>
          <w:p w14:paraId="28928012" w14:textId="77777777" w:rsidR="002B6383" w:rsidRDefault="00000000">
            <w:pPr>
              <w:cnfStyle w:val="100000000000" w:firstRow="1" w:lastRow="0" w:firstColumn="0" w:lastColumn="0" w:oddVBand="0" w:evenVBand="0" w:oddHBand="0" w:evenHBand="0" w:firstRowFirstColumn="0" w:firstRowLastColumn="0" w:lastRowFirstColumn="0" w:lastRowLastColumn="0"/>
            </w:pPr>
            <w:r>
              <w:t>AI Tool / Use</w:t>
            </w:r>
          </w:p>
        </w:tc>
        <w:tc>
          <w:tcPr>
            <w:tcW w:w="1560" w:type="dxa"/>
            <w:shd w:val="clear" w:color="auto" w:fill="D9E2F3"/>
          </w:tcPr>
          <w:p w14:paraId="17480078" w14:textId="77777777" w:rsidR="002B6383"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1560" w:type="dxa"/>
            <w:shd w:val="clear" w:color="auto" w:fill="D9E2F3"/>
          </w:tcPr>
          <w:p w14:paraId="4046AB79" w14:textId="77777777" w:rsidR="002B6383" w:rsidRDefault="00000000">
            <w:pPr>
              <w:cnfStyle w:val="100000000000" w:firstRow="1" w:lastRow="0" w:firstColumn="0" w:lastColumn="0" w:oddVBand="0" w:evenVBand="0" w:oddHBand="0" w:evenHBand="0" w:firstRowFirstColumn="0" w:firstRowLastColumn="0" w:lastRowFirstColumn="0" w:lastRowLastColumn="0"/>
            </w:pPr>
            <w:r>
              <w:t>Output Used?</w:t>
            </w:r>
          </w:p>
        </w:tc>
        <w:tc>
          <w:tcPr>
            <w:tcW w:w="1560" w:type="dxa"/>
            <w:shd w:val="clear" w:color="auto" w:fill="D9E2F3"/>
          </w:tcPr>
          <w:p w14:paraId="722D1D6A" w14:textId="77777777" w:rsidR="002B6383" w:rsidRDefault="00000000">
            <w:pPr>
              <w:cnfStyle w:val="100000000000" w:firstRow="1" w:lastRow="0" w:firstColumn="0" w:lastColumn="0" w:oddVBand="0" w:evenVBand="0" w:oddHBand="0" w:evenHBand="0" w:firstRowFirstColumn="0" w:firstRowLastColumn="0" w:lastRowFirstColumn="0" w:lastRowLastColumn="0"/>
            </w:pPr>
            <w:r>
              <w:t>How Independently Verified</w:t>
            </w:r>
          </w:p>
        </w:tc>
        <w:tc>
          <w:tcPr>
            <w:tcW w:w="1560" w:type="dxa"/>
            <w:shd w:val="clear" w:color="auto" w:fill="D9E2F3"/>
          </w:tcPr>
          <w:p w14:paraId="47CE7141" w14:textId="77777777" w:rsidR="002B6383" w:rsidRDefault="00000000">
            <w:pPr>
              <w:cnfStyle w:val="100000000000" w:firstRow="1" w:lastRow="0" w:firstColumn="0" w:lastColumn="0" w:oddVBand="0" w:evenVBand="0" w:oddHBand="0" w:evenHBand="0" w:firstRowFirstColumn="0" w:firstRowLastColumn="0" w:lastRowFirstColumn="0" w:lastRowLastColumn="0"/>
            </w:pPr>
            <w:r>
              <w:t>What Was Changed/Rejected</w:t>
            </w:r>
          </w:p>
        </w:tc>
      </w:tr>
      <w:tr w:rsidR="002B6383" w14:paraId="13EE2BDA" w14:textId="77777777" w:rsidTr="002B63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793F88D" w14:textId="77777777" w:rsidR="002B6383" w:rsidRDefault="00000000">
            <w:r>
              <w:t>Person 3</w:t>
            </w:r>
          </w:p>
        </w:tc>
        <w:tc>
          <w:tcPr>
            <w:tcW w:w="1560" w:type="dxa"/>
          </w:tcPr>
          <w:p w14:paraId="32B31F0D" w14:textId="77777777" w:rsidR="002B6383" w:rsidRDefault="00000000">
            <w:pPr>
              <w:cnfStyle w:val="000000100000" w:firstRow="0" w:lastRow="0" w:firstColumn="0" w:lastColumn="0" w:oddVBand="0" w:evenVBand="0" w:oddHBand="1" w:evenHBand="0" w:firstRowFirstColumn="0" w:firstRowLastColumn="0" w:lastRowFirstColumn="0" w:lastRowLastColumn="0"/>
            </w:pPr>
            <w:r>
              <w:t>Claude Code with research synthesis assistance</w:t>
            </w:r>
          </w:p>
        </w:tc>
        <w:tc>
          <w:tcPr>
            <w:tcW w:w="1560" w:type="dxa"/>
          </w:tcPr>
          <w:p w14:paraId="1CBB09CB" w14:textId="77777777" w:rsidR="002B6383" w:rsidRDefault="00000000">
            <w:pPr>
              <w:cnfStyle w:val="000000100000" w:firstRow="0" w:lastRow="0" w:firstColumn="0" w:lastColumn="0" w:oddVBand="0" w:evenVBand="0" w:oddHBand="1" w:evenHBand="0" w:firstRowFirstColumn="0" w:firstRowLastColumn="0" w:lastRowFirstColumn="0" w:lastRowLastColumn="0"/>
            </w:pPr>
            <w:r>
              <w:t>Research synthesis of production readiness concepts; document structure assistance; initial drafting of evidence matrix and engineering map</w:t>
            </w:r>
          </w:p>
        </w:tc>
        <w:tc>
          <w:tcPr>
            <w:tcW w:w="1560" w:type="dxa"/>
          </w:tcPr>
          <w:p w14:paraId="4E7382F1" w14:textId="77777777" w:rsidR="002B6383" w:rsidRDefault="00000000">
            <w:pPr>
              <w:cnfStyle w:val="000000100000" w:firstRow="0" w:lastRow="0" w:firstColumn="0" w:lastColumn="0" w:oddVBand="0" w:evenVBand="0" w:oddHBand="1" w:evenHBand="0" w:firstRowFirstColumn="0" w:firstRowLastColumn="0" w:lastRowFirstColumn="0" w:lastRowLastColumn="0"/>
            </w:pPr>
            <w:r>
              <w:t>Yes</w:t>
            </w:r>
          </w:p>
        </w:tc>
        <w:tc>
          <w:tcPr>
            <w:tcW w:w="1560" w:type="dxa"/>
          </w:tcPr>
          <w:p w14:paraId="40733B5B" w14:textId="77777777" w:rsidR="002B6383" w:rsidRDefault="00000000">
            <w:pPr>
              <w:cnfStyle w:val="000000100000" w:firstRow="0" w:lastRow="0" w:firstColumn="0" w:lastColumn="0" w:oddVBand="0" w:evenVBand="0" w:oddHBand="1" w:evenHBand="0" w:firstRowFirstColumn="0" w:firstRowLastColumn="0" w:lastRowFirstColumn="0" w:lastRowLastColumn="0"/>
            </w:pPr>
            <w:r>
              <w:t>All technical claims cross-referenced with official documentation from AWS, Google Cloud, Microsoft, NIST, and ISO standards. All deployment patterns verified against current industry best practices.</w:t>
            </w:r>
          </w:p>
        </w:tc>
        <w:tc>
          <w:tcPr>
            <w:tcW w:w="1560" w:type="dxa"/>
          </w:tcPr>
          <w:p w14:paraId="1FB8E9CD" w14:textId="77777777" w:rsidR="002B6383" w:rsidRDefault="00000000">
            <w:pPr>
              <w:cnfStyle w:val="000000100000" w:firstRow="0" w:lastRow="0" w:firstColumn="0" w:lastColumn="0" w:oddVBand="0" w:evenVBand="0" w:oddHBand="1" w:evenHBand="0" w:firstRowFirstColumn="0" w:firstRowLastColumn="0" w:lastRowFirstColumn="0" w:lastRowLastColumn="0"/>
            </w:pPr>
            <w:r>
              <w:t>Academic tone and South African English phrasing adjusted; formatting standardised to match assignment requirements.</w:t>
            </w:r>
          </w:p>
        </w:tc>
      </w:tr>
      <w:tr w:rsidR="002B6383" w14:paraId="1B2E0DBC" w14:textId="77777777" w:rsidTr="002B63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314FD86" w14:textId="77777777" w:rsidR="002B6383" w:rsidRDefault="00000000">
            <w:r>
              <w:t>Person 3</w:t>
            </w:r>
          </w:p>
        </w:tc>
        <w:tc>
          <w:tcPr>
            <w:tcW w:w="1560" w:type="dxa"/>
          </w:tcPr>
          <w:p w14:paraId="474EC16A" w14:textId="77777777" w:rsidR="002B6383" w:rsidRDefault="00000000">
            <w:pPr>
              <w:cnfStyle w:val="000000010000" w:firstRow="0" w:lastRow="0" w:firstColumn="0" w:lastColumn="0" w:oddVBand="0" w:evenVBand="0" w:oddHBand="0" w:evenHBand="1" w:firstRowFirstColumn="0" w:firstRowLastColumn="0" w:lastRowFirstColumn="0" w:lastRowLastColumn="0"/>
            </w:pPr>
            <w:r>
              <w:t>Research validation through documentation cross-referencing</w:t>
            </w:r>
          </w:p>
        </w:tc>
        <w:tc>
          <w:tcPr>
            <w:tcW w:w="1560" w:type="dxa"/>
          </w:tcPr>
          <w:p w14:paraId="335EE124" w14:textId="77777777" w:rsidR="002B6383" w:rsidRDefault="00000000">
            <w:pPr>
              <w:cnfStyle w:val="000000010000" w:firstRow="0" w:lastRow="0" w:firstColumn="0" w:lastColumn="0" w:oddVBand="0" w:evenVBand="0" w:oddHBand="0" w:evenHBand="1" w:firstRowFirstColumn="0" w:firstRowLastColumn="0" w:lastRowFirstColumn="0" w:lastRowLastColumn="0"/>
            </w:pPr>
            <w:r>
              <w:t>Verification of contemporary claims about cloud deployment, observability, and infrastructure as code practices</w:t>
            </w:r>
          </w:p>
        </w:tc>
        <w:tc>
          <w:tcPr>
            <w:tcW w:w="1560" w:type="dxa"/>
          </w:tcPr>
          <w:p w14:paraId="59EFEF8D" w14:textId="77777777" w:rsidR="002B6383" w:rsidRDefault="00000000">
            <w:pPr>
              <w:cnfStyle w:val="000000010000" w:firstRow="0" w:lastRow="0" w:firstColumn="0" w:lastColumn="0" w:oddVBand="0" w:evenVBand="0" w:oddHBand="0" w:evenHBand="1" w:firstRowFirstColumn="0" w:firstRowLastColumn="0" w:lastRowFirstColumn="0" w:lastRowLastColumn="0"/>
            </w:pPr>
            <w:r>
              <w:t>Yes</w:t>
            </w:r>
          </w:p>
        </w:tc>
        <w:tc>
          <w:tcPr>
            <w:tcW w:w="1560" w:type="dxa"/>
          </w:tcPr>
          <w:p w14:paraId="64C5ED61" w14:textId="77777777" w:rsidR="002B6383" w:rsidRDefault="00000000">
            <w:pPr>
              <w:cnfStyle w:val="000000010000" w:firstRow="0" w:lastRow="0" w:firstColumn="0" w:lastColumn="0" w:oddVBand="0" w:evenVBand="0" w:oddHBand="0" w:evenHBand="1" w:firstRowFirstColumn="0" w:firstRowLastColumn="0" w:lastRowFirstColumn="0" w:lastRowLastColumn="0"/>
            </w:pPr>
            <w:r>
              <w:t>Official documentation from cloud providers (AWS, Google Cloud, Microsoft Azure) and open-source projects (Kubernetes, OpenTelemetry) checked for currency and applicability to web-based information systems.</w:t>
            </w:r>
          </w:p>
        </w:tc>
        <w:tc>
          <w:tcPr>
            <w:tcW w:w="1560" w:type="dxa"/>
          </w:tcPr>
          <w:p w14:paraId="1830976E" w14:textId="77777777" w:rsidR="002B6383" w:rsidRDefault="00000000">
            <w:pPr>
              <w:cnfStyle w:val="000000010000" w:firstRow="0" w:lastRow="0" w:firstColumn="0" w:lastColumn="0" w:oddVBand="0" w:evenVBand="0" w:oddHBand="0" w:evenHBand="1" w:firstRowFirstColumn="0" w:firstRowLastColumn="0" w:lastRowFirstColumn="0" w:lastRowLastColumn="0"/>
            </w:pPr>
            <w:r>
              <w:t>Technical specificity increased; vendor-specific examples generalised to maintain tool-agnostic research focus.</w:t>
            </w:r>
          </w:p>
        </w:tc>
      </w:tr>
    </w:tbl>
    <w:p w14:paraId="50D1B6AB" w14:textId="6C9561AC" w:rsidR="00CC78A0" w:rsidRDefault="00934FF2">
      <w:r>
        <w:t>IMPORTANT NOTE: Because AI had a direct hand in rewriting some sentences structures for Academic structure and grammar fixes, common online AI checker platforms flags the document.</w:t>
      </w:r>
    </w:p>
    <w:sectPr w:rsidR="00CC78A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6A2261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A666F8"/>
    <w:lvl w:ilvl="0">
      <w:start w:val="1"/>
      <w:numFmt w:val="bullet"/>
      <w:pStyle w:val="ListBullet"/>
      <w:lvlText w:val=""/>
      <w:lvlJc w:val="left"/>
      <w:pPr>
        <w:tabs>
          <w:tab w:val="num" w:pos="360"/>
        </w:tabs>
        <w:ind w:left="360" w:hanging="360"/>
      </w:pPr>
      <w:rPr>
        <w:rFonts w:ascii="Symbol" w:hAnsi="Symbol" w:hint="default"/>
      </w:rPr>
    </w:lvl>
  </w:abstractNum>
  <w:num w:numId="1" w16cid:durableId="545262612">
    <w:abstractNumId w:val="8"/>
  </w:num>
  <w:num w:numId="2" w16cid:durableId="1784765178">
    <w:abstractNumId w:val="6"/>
  </w:num>
  <w:num w:numId="3" w16cid:durableId="1028944885">
    <w:abstractNumId w:val="5"/>
  </w:num>
  <w:num w:numId="4" w16cid:durableId="1336614168">
    <w:abstractNumId w:val="4"/>
  </w:num>
  <w:num w:numId="5" w16cid:durableId="1404140568">
    <w:abstractNumId w:val="7"/>
  </w:num>
  <w:num w:numId="6" w16cid:durableId="1880899701">
    <w:abstractNumId w:val="3"/>
  </w:num>
  <w:num w:numId="7" w16cid:durableId="1957788672">
    <w:abstractNumId w:val="2"/>
  </w:num>
  <w:num w:numId="8" w16cid:durableId="271400920">
    <w:abstractNumId w:val="1"/>
  </w:num>
  <w:num w:numId="9" w16cid:durableId="1466193311">
    <w:abstractNumId w:val="0"/>
  </w:num>
  <w:num w:numId="10" w16cid:durableId="17964075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383"/>
    <w:rsid w:val="00326F90"/>
    <w:rsid w:val="0090382E"/>
    <w:rsid w:val="00934FF2"/>
    <w:rsid w:val="00AA1D8D"/>
    <w:rsid w:val="00B47730"/>
    <w:rsid w:val="00CB0664"/>
    <w:rsid w:val="00CC78A0"/>
    <w:rsid w:val="00EC46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15CAC"/>
  <w14:defaultImageDpi w14:val="300"/>
  <w15:docId w15:val="{6C8D00F5-B531-41AE-B15C-4A236B4CD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8</Pages>
  <Words>2799</Words>
  <Characters>15960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Armand Johannes Vermeulen</cp:lastModifiedBy>
  <cp:revision>2</cp:revision>
  <dcterms:created xsi:type="dcterms:W3CDTF">2013-12-23T23:15:00Z</dcterms:created>
  <dcterms:modified xsi:type="dcterms:W3CDTF">2026-09-23T11:23:00Z</dcterms:modified>
  <cp:category/>
</cp:coreProperties>
</file>