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8"/>
        </w:rPr>
        <w:t>BELGIUM CAMPUS iTVERSITY</w:t>
      </w:r>
    </w:p>
    <w:p>
      <w:pPr>
        <w:jc w:val="center"/>
      </w:pPr>
      <w:r>
        <w:rPr>
          <w:b/>
          <w:sz w:val="32"/>
        </w:rPr>
        <w:t>SEN381 – Software Engineering 381</w:t>
      </w:r>
    </w:p>
    <w:p/>
    <w:p>
      <w:pPr>
        <w:jc w:val="center"/>
      </w:pPr>
      <w:r>
        <w:rPr>
          <w:b/>
          <w:sz w:val="36"/>
        </w:rPr>
        <w:t>Assignment 3: Research for Quality, Security &amp; Production Readiness</w:t>
      </w:r>
    </w:p>
    <w:p/>
    <w:p/>
    <w:p>
      <w:pPr>
        <w:jc w:val="center"/>
      </w:pPr>
      <w:r>
        <w:rPr>
          <w:sz w:val="28"/>
        </w:rPr>
        <w:t>Academic Year: 2026</w:t>
      </w:r>
    </w:p>
    <w:p/>
    <w:p/>
    <w:p>
      <w:pPr>
        <w:jc w:val="center"/>
      </w:pPr>
      <w:r>
        <w:rPr>
          <w:b/>
          <w:sz w:val="24"/>
        </w:rPr>
        <w:t>Team Members:</w:t>
      </w:r>
    </w:p>
    <w:p>
      <w:pPr>
        <w:jc w:val="center"/>
      </w:pPr>
      <w:r>
        <w:rPr>
          <w:sz w:val="22"/>
        </w:rPr>
        <w:t>Armand Vermeulen (Person 1 - Quality Engineering)</w:t>
      </w:r>
    </w:p>
    <w:p>
      <w:pPr>
        <w:jc w:val="center"/>
      </w:pPr>
      <w:r>
        <w:rPr>
          <w:sz w:val="22"/>
        </w:rPr>
        <w:t>[Person 2 Name] (Person 2 - Security Engineering)</w:t>
      </w:r>
    </w:p>
    <w:p>
      <w:pPr>
        <w:jc w:val="center"/>
      </w:pPr>
      <w:r>
        <w:rPr>
          <w:sz w:val="22"/>
        </w:rPr>
        <w:t>Riegardt [Surname] (Person 3 - Production Readiness)</w:t>
      </w:r>
    </w:p>
    <w:p>
      <w:r>
        <w:br w:type="page"/>
      </w:r>
    </w:p>
    <w:p>
      <w:pPr>
        <w:pStyle w:val="Heading1"/>
      </w:pPr>
      <w:r>
        <w:t>Table of Contents</w:t>
      </w:r>
    </w:p>
    <w:p>
      <w:r>
        <w:t>[Insert automatic Table of Contents here]</w:t>
      </w:r>
    </w:p>
    <w:p>
      <w:r>
        <w:rPr>
          <w:i/>
          <w:sz w:val="18"/>
        </w:rPr>
        <w:t>To insert: References → Table of Contents → Automatic Table 1</w:t>
      </w:r>
    </w:p>
    <w:p/>
    <w:p>
      <w:r>
        <w:rPr>
          <w:sz w:val="20"/>
        </w:rPr>
        <w:t>1. Introduction....................................................... 3</w:t>
      </w:r>
    </w:p>
    <w:p>
      <w:r>
        <w:rPr>
          <w:sz w:val="20"/>
        </w:rPr>
        <w:t>2. Question 1 – Quality Strategy &amp; Risk-Based Verification............ 3</w:t>
      </w:r>
    </w:p>
    <w:p>
      <w:r>
        <w:rPr>
          <w:sz w:val="20"/>
        </w:rPr>
        <w:t>3. Question 2 – Security Engineering &amp; Threat-Based Controls.......... 5</w:t>
      </w:r>
    </w:p>
    <w:p>
      <w:r>
        <w:rPr>
          <w:sz w:val="20"/>
        </w:rPr>
        <w:t>4. Question 3 – Production Readiness, Deployment &amp; Operational Evidence 7</w:t>
      </w:r>
    </w:p>
    <w:p>
      <w:r>
        <w:rPr>
          <w:sz w:val="20"/>
        </w:rPr>
        <w:t>5. Question 4 – Research-to-M3 Engineering Map........................ 11</w:t>
      </w:r>
    </w:p>
    <w:p>
      <w:r>
        <w:rPr>
          <w:sz w:val="20"/>
        </w:rPr>
        <w:t>6. Conclusion......................................................... 13</w:t>
      </w:r>
    </w:p>
    <w:p>
      <w:r>
        <w:rPr>
          <w:sz w:val="20"/>
        </w:rPr>
        <w:t>7. Reference List..................................................... 14</w:t>
      </w:r>
    </w:p>
    <w:p>
      <w:r>
        <w:rPr>
          <w:sz w:val="20"/>
        </w:rPr>
        <w:t>8. AI Research &amp; Verification Record.................................. 16</w:t>
      </w:r>
    </w:p>
    <w:p>
      <w:r>
        <w:br w:type="page"/>
      </w:r>
    </w:p>
    <w:p>
      <w:pPr>
        <w:pStyle w:val="Heading1"/>
      </w:pPr>
      <w:r>
        <w:t>1. Introduction</w:t>
      </w:r>
    </w:p>
    <w:p>
      <w:pPr>
        <w:spacing w:lineRule="auto" w:line="276"/>
      </w:pPr>
      <w:r>
        <w:t>This report presents research findings on quality engineering, security engineering, and production readiness for a web-based service delivery platform. The investigation focuses on established engineering approaches, frameworks, and evidence-gathering practices rather than making specific tool or platform selections for the CivicConnect project.</w:t>
        <w:br/>
        <w:br/>
        <w:t>The report addresses three core research questions: quality strategy and risk-based verification methods; security engineering through threat modelling and controls; and production readiness concerning deployment, operations, and reliability. Each section synthesises contemporary software engineering literature and industry best practices relevant to web-based information systems.</w:t>
        <w:br/>
        <w:br/>
        <w:t>The findings are intended to inform later engineering decisions during Milestone 3, where the team will select specific tools, platforms, and implementation approaches for CivicConnect. This research does not present final decisions but rather establishes the engineering foundation upon which those decisions will be made.</w:t>
      </w:r>
    </w:p>
    <w:p>
      <w:r>
        <w:br w:type="page"/>
      </w:r>
    </w:p>
    <w:p>
      <w:pPr>
        <w:pStyle w:val="Heading1"/>
      </w:pPr>
      <w:r>
        <w:t>2. Question 1 – Quality Strategy &amp; Risk-Based Verification</w:t>
      </w:r>
    </w:p>
    <w:p>
      <w:pPr>
        <w:pStyle w:val="Heading2"/>
      </w:pPr>
      <w:r>
        <w:t>2.1 QA, QC, Verification and Validation — How They Fit Together</w:t>
      </w:r>
    </w:p>
    <w:p>
      <w:pPr>
        <w:spacing w:line="276" w:lineRule="auto"/>
      </w:pPr>
      <w:r>
        <w:t>Four terms are often used loosely but contribute differently to an overall quality strategy. Quality Assurance (QA) is process-focused: it is the set of activities that build confidence that quality requirements will be fulfilled, by shaping how work is planned and carried out (ISTQB, 2023). Quality Control (QC) is product-focused: it is the set of activities that check whether quality requirements have been fulfilled in a specific work product (ISTQB, 2023). Verification and Validation (V&amp;V) sit inside this picture as two distinct checks: Verification asks "are we building the product right?" — a static, specification-driven check that a work product complies with the requirements set for it — while Validation asks "are we building the right product?" — a check, often dynamic, that the finished product actually satisfies the real needs it was meant to address (IEEE, 2017; ISTQB, 2023).</w:t>
        <w:br/>
        <w:br/>
        <w:t>For CivicConnect, this means: QA is reflected in decisions such as having a defined test strategy and peer-review process at all; QC and Verification are reflected in the specific test evidence discussed below; and Validation is reflected in whether the delivered system actually resolves the visibility and accountability problems described in the PED's Business Need — something a passing test suite cannot, by itself, confirm.</w:t>
      </w:r>
    </w:p>
    <w:p>
      <w:pPr>
        <w:pStyle w:val="Heading2"/>
      </w:pPr>
      <w:r>
        <w:t>2.2 Risk-Based Testing and Verification</w:t>
      </w:r>
    </w:p>
    <w:p>
      <w:pPr>
        <w:spacing w:line="276" w:lineRule="auto"/>
      </w:pPr>
      <w:r>
        <w:t>Risk-based testing directs verification effort according to product risk rather than treating every part of a system as equally deserving of scrutiny. Risk is generally assessed as a function of the likelihood that a fault exists or a failure will occur, and the impact that failure would have if it did (Black, 2009). A feature that is both likely to contain defects (because it is complex, new, or frequently changed) and high in consequence if it fails (because it affects data integrity, security, or a large portion of users) should receive deeper, more varied verification than a low-likelihood, low-impact feature (Black, 2009). Technical criticality — how central a component is to the rest of the system — compounds this: a fault in a shared authorisation check has a wider blast radius than a fault in a single report's label text, even if both are equally likely to occur.</w:t>
        <w:br/>
        <w:br/>
        <w:t>Applied to CivicConnect, role-based access control (NFR-017/018) and the correctness of status-transition logic (FR-011) are high-likelihood-of-harm, high-impact areas — an authorisation failure exposes sensitive request data, and an incorrect status transition undermines the accountability the whole platform exists to provide (per the PED's Business Need). These areas justify deeper and more varied verification than, for example, a cosmetic label on a management report.</w:t>
      </w:r>
    </w:p>
    <w:p>
      <w:pPr>
        <w:pStyle w:val="Heading2"/>
      </w:pPr>
      <w:r>
        <w:t>2.3 Comparing Complementary Forms of Verification Evidence</w:t>
      </w:r>
    </w:p>
    <w:p>
      <w:pPr>
        <w:spacing w:line="276" w:lineRule="auto"/>
      </w:pPr>
      <w:r>
        <w:t>No single form of test evidence proves a system is correct; each is strong at exposing a particular class of fault and blind to others (Sommerville, 2016). Four complementary forms relevant to a modern web-based information system such as CivicConnect are compared below.</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Verification Form</w:t>
            </w:r>
          </w:p>
        </w:tc>
        <w:tc>
          <w:tcPr>
            <w:tcW w:type="dxa" w:w="2880"/>
            <w:shd w:fill="D9E2F3"/>
          </w:tcPr>
          <w:p>
            <w:r>
              <w:rPr>
                <w:b/>
              </w:rPr>
              <w:t>What It Is Strong at Exposing</w:t>
            </w:r>
          </w:p>
        </w:tc>
        <w:tc>
          <w:tcPr>
            <w:tcW w:type="dxa" w:w="2880"/>
            <w:shd w:fill="D9E2F3"/>
          </w:tcPr>
          <w:p>
            <w:r>
              <w:rPr>
                <w:b/>
              </w:rPr>
              <w:t>What It Cannot Prove on Its Own</w:t>
            </w:r>
          </w:p>
        </w:tc>
      </w:tr>
      <w:tr>
        <w:tc>
          <w:tcPr>
            <w:tcW w:type="dxa" w:w="2880"/>
          </w:tcPr>
          <w:p>
            <w:r>
              <w:t>Unit testing</w:t>
            </w:r>
          </w:p>
        </w:tc>
        <w:tc>
          <w:tcPr>
            <w:tcW w:type="dxa" w:w="2880"/>
          </w:tcPr>
          <w:p>
            <w:r>
              <w:t>Logical errors inside a single class or function in isolation — e.g. a status-transition rule that incorrectly allows an unauthorised state change (Sommerville, 2016)</w:t>
            </w:r>
          </w:p>
        </w:tc>
        <w:tc>
          <w:tcPr>
            <w:tcW w:type="dxa" w:w="2880"/>
          </w:tcPr>
          <w:p>
            <w:r>
              <w:t>That components work correctly together; a unit test suite can pass in full while the integrated system still fails, because unit tests typically mock or stub their collaborators</w:t>
            </w:r>
          </w:p>
        </w:tc>
      </w:tr>
      <w:tr>
        <w:tc>
          <w:tcPr>
            <w:tcW w:type="dxa" w:w="2880"/>
          </w:tcPr>
          <w:p>
            <w:r>
              <w:t>Integration/API testing</w:t>
            </w:r>
          </w:p>
        </w:tc>
        <w:tc>
          <w:tcPr>
            <w:tcW w:type="dxa" w:w="2880"/>
          </w:tcPr>
          <w:p>
            <w:r>
              <w:t>Faults at the boundary between components — e.g. a request-submission endpoint returning the wrong status code, or a contract mismatch between the front end and the request service (Sommerville, 2016)</w:t>
            </w:r>
          </w:p>
        </w:tc>
        <w:tc>
          <w:tcPr>
            <w:tcW w:type="dxa" w:w="2880"/>
          </w:tcPr>
          <w:p>
            <w:r>
              <w:t>Whether the overall user-facing workflow behaves correctly end-to-end, or whether the system performs acceptably under realistic load</w:t>
            </w:r>
          </w:p>
        </w:tc>
      </w:tr>
      <w:tr>
        <w:tc>
          <w:tcPr>
            <w:tcW w:type="dxa" w:w="2880"/>
          </w:tcPr>
          <w:p>
            <w:r>
              <w:t>Static analysis</w:t>
            </w:r>
          </w:p>
        </w:tc>
        <w:tc>
          <w:tcPr>
            <w:tcW w:type="dxa" w:w="2880"/>
          </w:tcPr>
          <w:p>
            <w:r>
              <w:t>Structural and stylistic problems in code without executing it at all — unreachable code, unused variables, certain classes of security-sensitive patterns (ISO/IEC, 2011)</w:t>
            </w:r>
          </w:p>
        </w:tc>
        <w:tc>
          <w:tcPr>
            <w:tcW w:type="dxa" w:w="2880"/>
          </w:tcPr>
          <w:p>
            <w:r>
              <w:t>Whether the code's logic actually satisfies the requirement; static analysis can pass on code that is well-formed but behaviourally wrong</w:t>
            </w:r>
          </w:p>
        </w:tc>
      </w:tr>
      <w:tr>
        <w:tc>
          <w:tcPr>
            <w:tcW w:type="dxa" w:w="2880"/>
          </w:tcPr>
          <w:p>
            <w:r>
              <w:t>Performance/load testing</w:t>
            </w:r>
          </w:p>
        </w:tc>
        <w:tc>
          <w:tcPr>
            <w:tcW w:type="dxa" w:w="2880"/>
          </w:tcPr>
          <w:p>
            <w:r>
              <w:t>Whether the system meets defined performance NFRs under realistic or peak load — directly relevant to CivicConnect's NFR-024 (95% of operations respond within 3 seconds)</w:t>
            </w:r>
          </w:p>
        </w:tc>
        <w:tc>
          <w:tcPr>
            <w:tcW w:type="dxa" w:w="2880"/>
          </w:tcPr>
          <w:p>
            <w:r>
              <w:t>Functional correctness; a system can respond quickly to a request that produces the wrong result, and load tests conducted against a small, non-representative dataset may not reveal failures that only appear at real operational scale</w:t>
            </w:r>
          </w:p>
        </w:tc>
      </w:tr>
    </w:tbl>
    <w:p/>
    <w:p>
      <w:pPr>
        <w:spacing w:line="276" w:lineRule="auto"/>
      </w:pPr>
      <w:r>
        <w:t>The pattern across all four is the same: each form answers a narrow question well and says nothing reliable about the questions the other forms are designed to answer. A verification strategy therefore needs several complementary forms, chosen according to the risk profile, rather than depending on any single one.</w:t>
      </w:r>
    </w:p>
    <w:p>
      <w:pPr>
        <w:pStyle w:val="Heading2"/>
      </w:pPr>
      <w:r>
        <w:t>2.4 Automation and Quality Gates</w:t>
      </w:r>
    </w:p>
    <w:p>
      <w:pPr>
        <w:spacing w:line="276" w:lineRule="auto"/>
      </w:pPr>
      <w:r>
        <w:t>Automating verification — running unit, integration, and static-analysis checks on every change through a Continuous Integration (CI) pipeline — makes verification repeatable and gives the team fast, consistent feedback on whether a change has broken previously passing behaviour (Duvall, Matyas and Glover, 2007). A quality gate extends this by defining which checks must pass before a change is allowed to progress (for example, merge into develop, matching the Master Project Brief's protected-main requirement) and which checks may initially only warn rather than block (Humble and Farley, 2010).</w:t>
        <w:br/>
        <w:br/>
        <w:t>The danger is treating an all-green pipeline as proof of overall quality. A pipeline only reports on the checks it was configured to run; it cannot report on requirements it was never told to verify, on user needs no one wrote a test for, on exploratory or usability issues a scripted test cannot detect, or on behaviour that only manifests in a production-like environment the pipeline does not replicate (Humble and Farley, 2010). Automation increases the reliability and repeatability of the checks it runs — it does not increase the coverage of those checks beyond what was designed into them (Duvall, Matyas and Glover, 2007).</w:t>
      </w:r>
    </w:p>
    <w:p>
      <w:pPr>
        <w:pStyle w:val="Heading2"/>
      </w:pPr>
      <w:r>
        <w:t>2.5 Risk-to-Verification Evidence Map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sz w:val="18"/>
              </w:rPr>
              <w:t>#</w:t>
            </w:r>
          </w:p>
        </w:tc>
        <w:tc>
          <w:tcPr>
            <w:tcW w:type="dxa" w:w="1440"/>
            <w:shd w:fill="D9E2F3"/>
          </w:tcPr>
          <w:p>
            <w:r>
              <w:rPr>
                <w:b/>
                <w:sz w:val="18"/>
              </w:rPr>
              <w:t>Software Risk / Quality Concern</w:t>
            </w:r>
          </w:p>
        </w:tc>
        <w:tc>
          <w:tcPr>
            <w:tcW w:type="dxa" w:w="1440"/>
            <w:shd w:fill="D9E2F3"/>
          </w:tcPr>
          <w:p>
            <w:r>
              <w:rPr>
                <w:b/>
                <w:sz w:val="18"/>
              </w:rPr>
              <w:t>Why It Matters (Likelihood × Impact)</w:t>
            </w:r>
          </w:p>
        </w:tc>
        <w:tc>
          <w:tcPr>
            <w:tcW w:type="dxa" w:w="1440"/>
            <w:shd w:fill="D9E2F3"/>
          </w:tcPr>
          <w:p>
            <w:r>
              <w:rPr>
                <w:b/>
                <w:sz w:val="18"/>
              </w:rPr>
              <w:t>Verification Evidence Applied</w:t>
            </w:r>
          </w:p>
        </w:tc>
        <w:tc>
          <w:tcPr>
            <w:tcW w:type="dxa" w:w="1440"/>
            <w:shd w:fill="D9E2F3"/>
          </w:tcPr>
          <w:p>
            <w:r>
              <w:rPr>
                <w:b/>
                <w:sz w:val="18"/>
              </w:rPr>
              <w:t>Reasoning: What the Evidence Confirms / Leaves Open</w:t>
            </w:r>
          </w:p>
        </w:tc>
        <w:tc>
          <w:tcPr>
            <w:tcW w:type="dxa" w:w="1440"/>
            <w:shd w:fill="D9E2F3"/>
          </w:tcPr>
          <w:p>
            <w:r>
              <w:rPr>
                <w:b/>
                <w:sz w:val="18"/>
              </w:rPr>
              <w:t>Progression / Quality Decision</w:t>
            </w:r>
          </w:p>
        </w:tc>
      </w:tr>
      <w:tr>
        <w:tc>
          <w:tcPr>
            <w:tcW w:type="dxa" w:w="1440"/>
          </w:tcPr>
          <w:p>
            <w:r>
              <w:rPr>
                <w:sz w:val="18"/>
              </w:rPr>
              <w:t>1</w:t>
            </w:r>
          </w:p>
        </w:tc>
        <w:tc>
          <w:tcPr>
            <w:tcW w:type="dxa" w:w="1440"/>
          </w:tcPr>
          <w:p>
            <w:r>
              <w:rPr>
                <w:sz w:val="18"/>
              </w:rPr>
              <w:t>A status transition is applied that should not be allowed for the requesting user's role (RBAC failure, relates to NFR-017/018)</w:t>
            </w:r>
          </w:p>
        </w:tc>
        <w:tc>
          <w:tcPr>
            <w:tcW w:type="dxa" w:w="1440"/>
          </w:tcPr>
          <w:p>
            <w:r>
              <w:rPr>
                <w:sz w:val="18"/>
              </w:rPr>
              <w:t>High impact (exposes/alters data outside authorisation) and moderate-to-high likelihood as more roles and transitions are added</w:t>
            </w:r>
          </w:p>
        </w:tc>
        <w:tc>
          <w:tcPr>
            <w:tcW w:type="dxa" w:w="1440"/>
          </w:tcPr>
          <w:p>
            <w:r>
              <w:rPr>
                <w:sz w:val="18"/>
              </w:rPr>
              <w:t>Unit tests on the transition/authorisation logic + integration tests exercising the API with different role tokens</w:t>
            </w:r>
          </w:p>
        </w:tc>
        <w:tc>
          <w:tcPr>
            <w:tcW w:type="dxa" w:w="1440"/>
          </w:tcPr>
          <w:p>
            <w:r>
              <w:rPr>
                <w:sz w:val="18"/>
              </w:rPr>
              <w:t>Unit tests confirm the rule logic is internally correct; integration tests confirm the rule is actually enforced at the API boundary. Neither confirms whether the rule itself reflects every legitimate real-world case (a Validation question)</w:t>
            </w:r>
          </w:p>
        </w:tc>
        <w:tc>
          <w:tcPr>
            <w:tcW w:type="dxa" w:w="1440"/>
          </w:tcPr>
          <w:p>
            <w:r>
              <w:rPr>
                <w:sz w:val="18"/>
              </w:rPr>
              <w:t>Block merge to develop if either suite fails — this is a high-impact area that should sit behind a hard quality gate</w:t>
            </w:r>
          </w:p>
        </w:tc>
      </w:tr>
      <w:tr>
        <w:tc>
          <w:tcPr>
            <w:tcW w:type="dxa" w:w="1440"/>
          </w:tcPr>
          <w:p>
            <w:r>
              <w:rPr>
                <w:sz w:val="18"/>
              </w:rPr>
              <w:t>2</w:t>
            </w:r>
          </w:p>
        </w:tc>
        <w:tc>
          <w:tcPr>
            <w:tcW w:type="dxa" w:w="1440"/>
          </w:tcPr>
          <w:p>
            <w:r>
              <w:rPr>
                <w:sz w:val="18"/>
              </w:rPr>
              <w:t>A service request is lost or left in an inconsistent state if submission is interrupted partway (data-integrity failure, relates to NFR-022)</w:t>
            </w:r>
          </w:p>
        </w:tc>
        <w:tc>
          <w:tcPr>
            <w:tcW w:type="dxa" w:w="1440"/>
          </w:tcPr>
          <w:p>
            <w:r>
              <w:rPr>
                <w:sz w:val="18"/>
              </w:rPr>
              <w:t>High impact (undermines the core reliability promise of the platform) though relatively low likelihood if transactional handling is implemented correctly</w:t>
            </w:r>
          </w:p>
        </w:tc>
        <w:tc>
          <w:tcPr>
            <w:tcW w:type="dxa" w:w="1440"/>
          </w:tcPr>
          <w:p>
            <w:r>
              <w:rPr>
                <w:sz w:val="18"/>
              </w:rPr>
              <w:t>Integration/API tests that simulate a failure mid-submission, combined with static analysis flagging any code path that writes partial state without a rollback mechanism</w:t>
            </w:r>
          </w:p>
        </w:tc>
        <w:tc>
          <w:tcPr>
            <w:tcW w:type="dxa" w:w="1440"/>
          </w:tcPr>
          <w:p>
            <w:r>
              <w:rPr>
                <w:sz w:val="18"/>
              </w:rPr>
              <w:t>Integration tests confirm behaviour under a specific simulated failure; static analysis confirms the pattern of handling is structurally present everywhere it should be. Neither guarantees every possible failure point has been anticipated</w:t>
            </w:r>
          </w:p>
        </w:tc>
        <w:tc>
          <w:tcPr>
            <w:tcW w:type="dxa" w:w="1440"/>
          </w:tcPr>
          <w:p>
            <w:r>
              <w:rPr>
                <w:sz w:val="18"/>
              </w:rPr>
              <w:t>Required before the corresponding feature branch is considered release-candidate quality, but not necessarily a hard block on every unrelated merge</w:t>
            </w:r>
          </w:p>
        </w:tc>
      </w:tr>
      <w:tr>
        <w:tc>
          <w:tcPr>
            <w:tcW w:type="dxa" w:w="1440"/>
          </w:tcPr>
          <w:p>
            <w:r>
              <w:rPr>
                <w:sz w:val="18"/>
              </w:rPr>
              <w:t>3</w:t>
            </w:r>
          </w:p>
        </w:tc>
        <w:tc>
          <w:tcPr>
            <w:tcW w:type="dxa" w:w="1440"/>
          </w:tcPr>
          <w:p>
            <w:r>
              <w:rPr>
                <w:sz w:val="18"/>
              </w:rPr>
              <w:t>Response times exceed the 3-second target under realistic concurrent use (performance shortfall, relates to NFR-024)</w:t>
            </w:r>
          </w:p>
        </w:tc>
        <w:tc>
          <w:tcPr>
            <w:tcW w:type="dxa" w:w="1440"/>
          </w:tcPr>
          <w:p>
            <w:r>
              <w:rPr>
                <w:sz w:val="18"/>
              </w:rPr>
              <w:t>Impact grows with adoption; likelihood is currently unknown because no load testing has yet been performed</w:t>
            </w:r>
          </w:p>
        </w:tc>
        <w:tc>
          <w:tcPr>
            <w:tcW w:type="dxa" w:w="1440"/>
          </w:tcPr>
          <w:p>
            <w:r>
              <w:rPr>
                <w:sz w:val="18"/>
              </w:rPr>
              <w:t>Performance/load testing against a representative dataset and concurrency level</w:t>
            </w:r>
          </w:p>
        </w:tc>
        <w:tc>
          <w:tcPr>
            <w:tcW w:type="dxa" w:w="1440"/>
          </w:tcPr>
          <w:p>
            <w:r>
              <w:rPr>
                <w:sz w:val="18"/>
              </w:rPr>
              <w:t>Confirms whether the measured NFR-024 target is met under the tested conditions; does not confirm behaviour at higher, untested load, or on infrastructure different from the test environment</w:t>
            </w:r>
          </w:p>
        </w:tc>
        <w:tc>
          <w:tcPr>
            <w:tcW w:type="dxa" w:w="1440"/>
          </w:tcPr>
          <w:p>
            <w:r>
              <w:rPr>
                <w:sz w:val="18"/>
              </w:rPr>
              <w:t>Should inform, but not solely determine, an M3 readiness decision — result should be interpreted alongside the actual expected usage pattern, not treated as pass/fail in isolation</w:t>
            </w:r>
          </w:p>
        </w:tc>
      </w:tr>
      <w:tr>
        <w:tc>
          <w:tcPr>
            <w:tcW w:type="dxa" w:w="1440"/>
          </w:tcPr>
          <w:p>
            <w:r>
              <w:rPr>
                <w:sz w:val="18"/>
              </w:rPr>
              <w:t>4</w:t>
            </w:r>
          </w:p>
        </w:tc>
        <w:tc>
          <w:tcPr>
            <w:tcW w:type="dxa" w:w="1440"/>
          </w:tcPr>
          <w:p>
            <w:r>
              <w:rPr>
                <w:sz w:val="18"/>
              </w:rPr>
              <w:t>A later change to shared request-handling logic silently breaks previously correct status-transition behaviour (regression risk, relates to FR-011)</w:t>
            </w:r>
          </w:p>
        </w:tc>
        <w:tc>
          <w:tcPr>
            <w:tcW w:type="dxa" w:w="1440"/>
          </w:tcPr>
          <w:p>
            <w:r>
              <w:rPr>
                <w:sz w:val="18"/>
              </w:rPr>
              <w:t>Moderate-to-high likelihood as the codebase grows and more contributors touch shared logic; impact depends on which behaviour regresses</w:t>
            </w:r>
          </w:p>
        </w:tc>
        <w:tc>
          <w:tcPr>
            <w:tcW w:type="dxa" w:w="1440"/>
          </w:tcPr>
          <w:p>
            <w:r>
              <w:rPr>
                <w:sz w:val="18"/>
              </w:rPr>
              <w:t>Automated regression suite (a subset of unit + integration tests) re-run on every CI build</w:t>
            </w:r>
          </w:p>
        </w:tc>
        <w:tc>
          <w:tcPr>
            <w:tcW w:type="dxa" w:w="1440"/>
          </w:tcPr>
          <w:p>
            <w:r>
              <w:rPr>
                <w:sz w:val="18"/>
              </w:rPr>
              <w:t>Confirms that previously verified behaviour still holds for the specific cases already covered by existing tests; does not confirm behaviour for scenarios no test was ever written for</w:t>
            </w:r>
          </w:p>
        </w:tc>
        <w:tc>
          <w:tcPr>
            <w:tcW w:type="dxa" w:w="1440"/>
          </w:tcPr>
          <w:p>
            <w:r>
              <w:rPr>
                <w:sz w:val="18"/>
              </w:rPr>
              <w:t>Should block merge if it fails, but the team must also treat a passing regression suite as only as trustworthy as its existing coverage, and expand it as new behaviour is added</w:t>
            </w:r>
          </w:p>
        </w:tc>
      </w:tr>
    </w:tbl>
    <w:p/>
    <w:p>
      <w:pPr>
        <w:pStyle w:val="Heading2"/>
      </w:pPr>
      <w:r>
        <w:t>2.6 Critical Question Analysis</w:t>
      </w:r>
    </w:p>
    <w:p>
      <w:r>
        <w:rPr>
          <w:b/>
        </w:rPr>
        <w:t>Why is "all automated tests passed" insufficient evidence, by itself, to conclude that a software product is high quality or ready for release?</w:t>
      </w:r>
    </w:p>
    <w:p>
      <w:pPr>
        <w:spacing w:line="276" w:lineRule="auto"/>
      </w:pPr>
      <w:r>
        <w:t>An automated test suite can only report on the specific behaviours its authors thought to encode as assertions; it says nothing about requirements that were missed, misunderstood, or never translated into a test case at all (Sommerville, 2016). This is precisely the Verification/Validation distinction from Section 2.1: passing tests is, at best, evidence of Verification — that the product complies with what was specified — not Validation, that what was specified was actually the right thing to build for the organisation's actual needs (IEEE, 2017; ISTQB, 2023).</w:t>
        <w:br/>
        <w:br/>
        <w:t>A green pipeline also only reflects the checks that pipeline was configured to run; as Section 2.4 discusses, it cannot expose exploratory, usability, or genuinely novel failure modes that no one anticipated when writing the automated checks (Humble and Farley, 2010). Finally, as the Evidence Map shows, individual verification forms are each blind to classes of fault the others are designed to catch — a fully green unit-test suite says nothing about performance under load, and a fully green performance test says nothing about whether the underlying logic is even correct.</w:t>
        <w:br/>
        <w:br/>
        <w:t>"All automated tests passed" is therefore evidence that a defined, bounded set of checks succeeded — not evidence that the product is complete, correct, or fit for its intended purpose.</w:t>
      </w:r>
    </w:p>
    <w:p>
      <w:r>
        <w:br w:type="page"/>
      </w:r>
    </w:p>
    <w:p>
      <w:pPr>
        <w:pStyle w:val="Heading1"/>
      </w:pPr>
      <w:r>
        <w:t>3. Question 2 – Security Engineering &amp; Threat-Based Controls</w:t>
      </w:r>
    </w:p>
    <w:p>
      <w:pPr>
        <w:pStyle w:val="Heading2"/>
      </w:pPr>
      <w:r>
        <w:t>3.1 Threat Modelling</w:t>
      </w:r>
    </w:p>
    <w:p>
      <w:pPr>
        <w:spacing w:line="276" w:lineRule="auto"/>
      </w:pPr>
      <w:r>
        <w:t>Threat modelling is a methodical approach aimed at recognising, evaluating and ranking potential security threats to a system before they can be exploited. This process involves outlining application operations, identifying data storage and transmission locations, and assessing possible failures. Ultimately, it results in a prioritised catalogue of risks alongside corresponding measures (Duke, 2026).</w:t>
        <w:br/>
        <w:br/>
        <w:t>The recognised threat modelling framework covered in this report is STRIDE. The main purpose of STRIDE is to identify security threats based on six key categories: Spoofing, Tampering, Repudiation, Information Disclosure, Denial of Service, and Elevation of Privilege (Romeo, 2025). The strengths of this approach are:</w:t>
      </w:r>
    </w:p>
    <w:p>
      <w:pPr>
        <w:pStyle w:val="ListBullet"/>
        <w:spacing w:line="276" w:lineRule="auto"/>
      </w:pPr>
      <w:r>
        <w:t>Easy to remember and apply</w:t>
      </w:r>
    </w:p>
    <w:p>
      <w:pPr>
        <w:pStyle w:val="ListBullet"/>
        <w:spacing w:line="276" w:lineRule="auto"/>
      </w:pPr>
      <w:r>
        <w:t>Comprehensive coverage of typical security risks</w:t>
      </w:r>
    </w:p>
    <w:p>
      <w:pPr>
        <w:pStyle w:val="ListBullet"/>
        <w:spacing w:line="276" w:lineRule="auto"/>
      </w:pPr>
      <w:r>
        <w:t>Integrates well with data flow diagrams</w:t>
      </w:r>
    </w:p>
    <w:p>
      <w:pPr>
        <w:spacing w:line="276" w:lineRule="auto"/>
      </w:pPr>
      <w:r>
        <w:t>STRIDE is a structured methodology that aids software engineering teams in security decision-making by helping them identify potential threats to system components and data flows. The threats that are identified can be transformed into security requirements, recommended engineering controls, and suitable verification activities. This approach establishes a traceable link between potential security issues and the measures taken to mitigate them (Kumar, 2026).</w:t>
        <w:br/>
        <w:br/>
        <w:t>This approach is best suited for teams seeking versatility and a framework that can be applied across various projects and disciplines. STRIDE is comprehensive enough to cater to various needs.</w:t>
      </w:r>
    </w:p>
    <w:p>
      <w:pPr>
        <w:pStyle w:val="Heading2"/>
      </w:pPr>
      <w:r>
        <w:t>3.2 Security Concerns for CivicConnect</w:t>
      </w:r>
    </w:p>
    <w:p>
      <w:pPr>
        <w:spacing w:line="276" w:lineRule="auto"/>
      </w:pPr>
      <w:r>
        <w:t>Several security concerns are particularly relevant to a web-based service delivery platform such as CivicConnect:</w:t>
      </w:r>
    </w:p>
    <w:p>
      <w:pPr>
        <w:spacing w:line="276" w:lineRule="auto"/>
      </w:pPr>
      <w:r>
        <w:rPr>
          <w:b/>
        </w:rPr>
        <w:t xml:space="preserve">Authentication: </w:t>
      </w:r>
      <w:r>
        <w:t>A web-based service delivery platform ought to be able to implement the appropriate measures in differentiating authorised and unauthorised users. This distinction is crucial for preventing unauthorised access to user accounts and submission of service requests on behalf of others.</w:t>
      </w:r>
    </w:p>
    <w:p>
      <w:pPr>
        <w:spacing w:line="276" w:lineRule="auto"/>
      </w:pPr>
      <w:r>
        <w:rPr>
          <w:b/>
        </w:rPr>
        <w:t xml:space="preserve">Access Control: </w:t>
      </w:r>
      <w:r>
        <w:t>CivicConnect involves various user roles such as requesters, staff management, and administrators. Each role necessitates specific permissions. This differentiation presents a security concern regarding the potential for inappropriate access to functionalities or information.</w:t>
      </w:r>
    </w:p>
    <w:p>
      <w:pPr>
        <w:spacing w:line="276" w:lineRule="auto"/>
      </w:pPr>
      <w:r>
        <w:rPr>
          <w:b/>
        </w:rPr>
        <w:t xml:space="preserve">Input and Data Handling: </w:t>
      </w:r>
      <w:r>
        <w:t>CivicConnect makes use of user-provided service requests, which inherently makes secure validation, input, and processing a priority. Improperly managed input can potentially manipulate the application's behaviour or data, highlighting the need for a validated input handling system.</w:t>
      </w:r>
    </w:p>
    <w:p>
      <w:pPr>
        <w:spacing w:line="276" w:lineRule="auto"/>
      </w:pPr>
      <w:r>
        <w:rPr>
          <w:b/>
        </w:rPr>
        <w:t xml:space="preserve">Privacy: </w:t>
      </w:r>
      <w:r>
        <w:t>Service requests may contain information which makes users identifiable and should therefore not be disclosed needlessly. Such information must be protected by considering who can access it and how it is handled.</w:t>
      </w:r>
    </w:p>
    <w:p>
      <w:pPr>
        <w:pStyle w:val="Heading2"/>
      </w:pPr>
      <w:r>
        <w:t>3.3 Threat-to-Control Traceability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sz w:val="18"/>
              </w:rPr>
              <w:t>Security Concern</w:t>
            </w:r>
          </w:p>
        </w:tc>
        <w:tc>
          <w:tcPr>
            <w:tcW w:type="dxa" w:w="1440"/>
            <w:shd w:fill="D9E2F3"/>
          </w:tcPr>
          <w:p>
            <w:r>
              <w:rPr>
                <w:b/>
                <w:sz w:val="18"/>
              </w:rPr>
              <w:t>Threat or Misuse</w:t>
            </w:r>
          </w:p>
        </w:tc>
        <w:tc>
          <w:tcPr>
            <w:tcW w:type="dxa" w:w="1440"/>
            <w:shd w:fill="D9E2F3"/>
          </w:tcPr>
          <w:p>
            <w:r>
              <w:rPr>
                <w:b/>
                <w:sz w:val="18"/>
              </w:rPr>
              <w:t>Control Objective</w:t>
            </w:r>
          </w:p>
        </w:tc>
        <w:tc>
          <w:tcPr>
            <w:tcW w:type="dxa" w:w="1440"/>
            <w:shd w:fill="D9E2F3"/>
          </w:tcPr>
          <w:p>
            <w:r>
              <w:rPr>
                <w:b/>
                <w:sz w:val="18"/>
              </w:rPr>
              <w:t>Possible Engineering Control</w:t>
            </w:r>
          </w:p>
        </w:tc>
        <w:tc>
          <w:tcPr>
            <w:tcW w:type="dxa" w:w="1440"/>
            <w:shd w:fill="D9E2F3"/>
          </w:tcPr>
          <w:p>
            <w:r>
              <w:rPr>
                <w:b/>
                <w:sz w:val="18"/>
              </w:rPr>
              <w:t>Verification Evidence</w:t>
            </w:r>
          </w:p>
        </w:tc>
        <w:tc>
          <w:tcPr>
            <w:tcW w:type="dxa" w:w="1440"/>
            <w:shd w:fill="D9E2F3"/>
          </w:tcPr>
          <w:p>
            <w:r>
              <w:rPr>
                <w:b/>
                <w:sz w:val="18"/>
              </w:rPr>
              <w:t>Residual Risk</w:t>
            </w:r>
          </w:p>
        </w:tc>
      </w:tr>
      <w:tr>
        <w:tc>
          <w:tcPr>
            <w:tcW w:type="dxa" w:w="1440"/>
          </w:tcPr>
          <w:p>
            <w:r>
              <w:rPr>
                <w:sz w:val="18"/>
              </w:rPr>
              <w:t>Authentication</w:t>
            </w:r>
          </w:p>
        </w:tc>
        <w:tc>
          <w:tcPr>
            <w:tcW w:type="dxa" w:w="1440"/>
          </w:tcPr>
          <w:p>
            <w:r>
              <w:rPr>
                <w:sz w:val="18"/>
              </w:rPr>
              <w:t>An attacker tries to access the account of another user by obtaining their login credentials.</w:t>
            </w:r>
          </w:p>
        </w:tc>
        <w:tc>
          <w:tcPr>
            <w:tcW w:type="dxa" w:w="1440"/>
          </w:tcPr>
          <w:p>
            <w:r>
              <w:rPr>
                <w:sz w:val="18"/>
              </w:rPr>
              <w:t>Before gaining access to account information or protected functionalities, users must undergo secure authentication.</w:t>
            </w:r>
          </w:p>
        </w:tc>
        <w:tc>
          <w:tcPr>
            <w:tcW w:type="dxa" w:w="1440"/>
          </w:tcPr>
          <w:p>
            <w:r>
              <w:rPr>
                <w:sz w:val="18"/>
              </w:rPr>
              <w:t>Safe session management, password protection, and secure authentication.</w:t>
            </w:r>
          </w:p>
        </w:tc>
        <w:tc>
          <w:tcPr>
            <w:tcW w:type="dxa" w:w="1440"/>
          </w:tcPr>
          <w:p>
            <w:r>
              <w:rPr>
                <w:sz w:val="18"/>
              </w:rPr>
              <w:t>Code/security review, negative test cases, and authentication testing.</w:t>
            </w:r>
          </w:p>
        </w:tc>
        <w:tc>
          <w:tcPr>
            <w:tcW w:type="dxa" w:w="1440"/>
          </w:tcPr>
          <w:p>
            <w:r>
              <w:rPr>
                <w:sz w:val="18"/>
              </w:rPr>
              <w:t>Account compromise may still occur due to stolen credentials, hacked devices, or implementation flaws.</w:t>
            </w:r>
          </w:p>
        </w:tc>
      </w:tr>
      <w:tr>
        <w:tc>
          <w:tcPr>
            <w:tcW w:type="dxa" w:w="1440"/>
          </w:tcPr>
          <w:p>
            <w:r>
              <w:rPr>
                <w:sz w:val="18"/>
              </w:rPr>
              <w:t>Access Control</w:t>
            </w:r>
          </w:p>
        </w:tc>
        <w:tc>
          <w:tcPr>
            <w:tcW w:type="dxa" w:w="1440"/>
          </w:tcPr>
          <w:p>
            <w:r>
              <w:rPr>
                <w:sz w:val="18"/>
              </w:rPr>
              <w:t>A requester tries to access administrative, staff, or management features.</w:t>
            </w:r>
          </w:p>
        </w:tc>
        <w:tc>
          <w:tcPr>
            <w:tcW w:type="dxa" w:w="1440"/>
          </w:tcPr>
          <w:p>
            <w:r>
              <w:rPr>
                <w:sz w:val="18"/>
              </w:rPr>
              <w:t>Users should only be able to access information and carry out tasks that are allowed by their designated position.</w:t>
            </w:r>
          </w:p>
        </w:tc>
        <w:tc>
          <w:tcPr>
            <w:tcW w:type="dxa" w:w="1440"/>
          </w:tcPr>
          <w:p>
            <w:r>
              <w:rPr>
                <w:sz w:val="18"/>
              </w:rPr>
              <w:t>Server-side authorisation checks and role-based access restriction.</w:t>
            </w:r>
          </w:p>
        </w:tc>
        <w:tc>
          <w:tcPr>
            <w:tcW w:type="dxa" w:w="1440"/>
          </w:tcPr>
          <w:p>
            <w:r>
              <w:rPr>
                <w:sz w:val="18"/>
              </w:rPr>
              <w:t>API/security testing, role/permission testing, and negative access testing.</w:t>
            </w:r>
          </w:p>
        </w:tc>
        <w:tc>
          <w:tcPr>
            <w:tcW w:type="dxa" w:w="1440"/>
          </w:tcPr>
          <w:p>
            <w:r>
              <w:rPr>
                <w:sz w:val="18"/>
              </w:rPr>
              <w:t>Access control gaps can be caused by newly added endpoints or incorrect permissions.</w:t>
            </w:r>
          </w:p>
        </w:tc>
      </w:tr>
      <w:tr>
        <w:tc>
          <w:tcPr>
            <w:tcW w:type="dxa" w:w="1440"/>
          </w:tcPr>
          <w:p>
            <w:r>
              <w:rPr>
                <w:sz w:val="18"/>
              </w:rPr>
              <w:t>Input and Data Handling</w:t>
            </w:r>
          </w:p>
        </w:tc>
        <w:tc>
          <w:tcPr>
            <w:tcW w:type="dxa" w:w="1440"/>
          </w:tcPr>
          <w:p>
            <w:r>
              <w:rPr>
                <w:sz w:val="18"/>
              </w:rPr>
              <w:t>A user enters unexpected input, and it alters the behaviour or data of the application.</w:t>
            </w:r>
          </w:p>
        </w:tc>
        <w:tc>
          <w:tcPr>
            <w:tcW w:type="dxa" w:w="1440"/>
          </w:tcPr>
          <w:p>
            <w:r>
              <w:rPr>
                <w:sz w:val="18"/>
              </w:rPr>
              <w:t>Input which is unexpected should be verified and handled securely before being used by the application.</w:t>
            </w:r>
          </w:p>
        </w:tc>
        <w:tc>
          <w:tcPr>
            <w:tcW w:type="dxa" w:w="1440"/>
          </w:tcPr>
          <w:p>
            <w:r>
              <w:rPr>
                <w:sz w:val="18"/>
              </w:rPr>
              <w:t>Server-side input validation, secure data processing, and suitable output management.</w:t>
            </w:r>
          </w:p>
        </w:tc>
        <w:tc>
          <w:tcPr>
            <w:tcW w:type="dxa" w:w="1440"/>
          </w:tcPr>
          <w:p>
            <w:r>
              <w:rPr>
                <w:sz w:val="18"/>
              </w:rPr>
              <w:t>Static analysis, negative input testing, unit testing, and integration testing.</w:t>
            </w:r>
          </w:p>
        </w:tc>
        <w:tc>
          <w:tcPr>
            <w:tcW w:type="dxa" w:w="1440"/>
          </w:tcPr>
          <w:p>
            <w:r>
              <w:rPr>
                <w:sz w:val="18"/>
              </w:rPr>
              <w:t>Testing cannot prove that all potential harmful or unexpected input has been found.</w:t>
            </w:r>
          </w:p>
        </w:tc>
      </w:tr>
      <w:tr>
        <w:tc>
          <w:tcPr>
            <w:tcW w:type="dxa" w:w="1440"/>
          </w:tcPr>
          <w:p>
            <w:r>
              <w:rPr>
                <w:sz w:val="18"/>
              </w:rPr>
              <w:t>Privacy</w:t>
            </w:r>
          </w:p>
        </w:tc>
        <w:tc>
          <w:tcPr>
            <w:tcW w:type="dxa" w:w="1440"/>
          </w:tcPr>
          <w:p>
            <w:r>
              <w:rPr>
                <w:sz w:val="18"/>
              </w:rPr>
              <w:t>Information contained in service requests is accessed by an unauthorised individual.</w:t>
            </w:r>
          </w:p>
        </w:tc>
        <w:tc>
          <w:tcPr>
            <w:tcW w:type="dxa" w:w="1440"/>
          </w:tcPr>
          <w:p>
            <w:r>
              <w:rPr>
                <w:sz w:val="18"/>
              </w:rPr>
              <w:t>Only authorised parties should have access to sensitive information, and it should be handled appropriately.</w:t>
            </w:r>
          </w:p>
        </w:tc>
        <w:tc>
          <w:tcPr>
            <w:tcW w:type="dxa" w:w="1440"/>
          </w:tcPr>
          <w:p>
            <w:r>
              <w:rPr>
                <w:sz w:val="18"/>
              </w:rPr>
              <w:t>Data minimisation, suitable information management, least-privilege principles, and access controls.</w:t>
            </w:r>
          </w:p>
        </w:tc>
        <w:tc>
          <w:tcPr>
            <w:tcW w:type="dxa" w:w="1440"/>
          </w:tcPr>
          <w:p>
            <w:r>
              <w:rPr>
                <w:sz w:val="18"/>
              </w:rPr>
              <w:t>Security testing, configuration review, and access control testing.</w:t>
            </w:r>
          </w:p>
        </w:tc>
        <w:tc>
          <w:tcPr>
            <w:tcW w:type="dxa" w:w="1440"/>
          </w:tcPr>
          <w:p>
            <w:r>
              <w:rPr>
                <w:sz w:val="18"/>
              </w:rPr>
              <w:t>Information exposure can still occur due to misconfiguration and human error.</w:t>
            </w:r>
          </w:p>
        </w:tc>
      </w:tr>
    </w:tbl>
    <w:p/>
    <w:p>
      <w:pPr>
        <w:pStyle w:val="Heading2"/>
      </w:pPr>
      <w:r>
        <w:t>3.4 The Relationship Between Secure Design, Coding and Security Checks</w:t>
      </w:r>
    </w:p>
    <w:p>
      <w:pPr>
        <w:pStyle w:val="Heading3"/>
      </w:pPr>
      <w:r>
        <w:t>3.4.1 Secure Design</w:t>
      </w:r>
    </w:p>
    <w:p>
      <w:pPr>
        <w:spacing w:line="276" w:lineRule="auto"/>
      </w:pPr>
      <w:r>
        <w:t>In software engineering, secure design is the process of incorporating security controls and safeguards right into the planning and architecture stages of an application before any code is produced. Secure design views security as a fundamental core feature of the product, similar to functionality or performance, rather than treating cybersecurity as an afterthought or addressing flaws after distribution (Jung, 2025).</w:t>
      </w:r>
    </w:p>
    <w:p>
      <w:pPr>
        <w:pStyle w:val="Heading3"/>
      </w:pPr>
      <w:r>
        <w:t>3.4.2 Secure Coding</w:t>
      </w:r>
    </w:p>
    <w:p>
      <w:pPr>
        <w:spacing w:line="276" w:lineRule="auto"/>
      </w:pPr>
      <w:r>
        <w:t>Writing source code that can fend off cyberattacks is known as secure coding, or secure programming. Software that is strong and resilient enough to fend off cyberattacks is produced by limiting vulnerabilities through the integration of security into programming. Code security is a crucial component of creating secure software, not just an afterthought, an add-on, or a distinct feature (IBM, 2026).</w:t>
      </w:r>
    </w:p>
    <w:p>
      <w:pPr>
        <w:pStyle w:val="Heading3"/>
      </w:pPr>
      <w:r>
        <w:t>3.4.3 Dependency and Security Checks</w:t>
      </w:r>
    </w:p>
    <w:p>
      <w:pPr>
        <w:spacing w:line="276" w:lineRule="auto"/>
      </w:pPr>
      <w:r>
        <w:t>The automated examination of third-party libraries, frameworks, and packages that programmers employ to create applications is known as dependency scanning. In order to identify known security vulnerabilities, it examines the external open-source and commercial components you import rather than the code you create. Software composition analysis (SCA) is a common term used to describe this procedure (Wiz Experts Team, 2025).</w:t>
        <w:br/>
        <w:br/>
        <w:t>As a result, a system may have a secure design but a susceptible dependency, or it may have secure coding techniques but an insecure design. Some of these problems can be found by security tests, but they cannot prove that all security standards have been met. Therefore, a tiered strategy offers more confidence than depending just on one operation.</w:t>
      </w:r>
    </w:p>
    <w:p>
      <w:pPr>
        <w:pStyle w:val="Heading2"/>
      </w:pPr>
      <w:r>
        <w:t>3.5 Limitations of Relying on Automated Security Tools</w:t>
      </w:r>
    </w:p>
    <w:p>
      <w:pPr>
        <w:spacing w:line="276" w:lineRule="auto"/>
      </w:pPr>
      <w:r>
        <w:t>Automated security tools have notable limitations:</w:t>
      </w:r>
    </w:p>
    <w:p>
      <w:pPr>
        <w:spacing w:line="276" w:lineRule="auto"/>
      </w:pPr>
      <w:r>
        <w:rPr>
          <w:b/>
        </w:rPr>
        <w:t xml:space="preserve">Inability to Handle Novel Threats: </w:t>
      </w:r>
      <w:r>
        <w:t>Automated systems often have trouble identifying novel attack chains or unknown security weaknesses because they rely on established rules, patterns or signatures (Cloud Services New York City, 2025).</w:t>
      </w:r>
    </w:p>
    <w:p>
      <w:pPr>
        <w:spacing w:line="276" w:lineRule="auto"/>
      </w:pPr>
      <w:r>
        <w:rPr>
          <w:b/>
        </w:rPr>
        <w:t xml:space="preserve">False Sense of Security: </w:t>
      </w:r>
      <w:r>
        <w:t>Teams may miss coverage gaps, configuration errors, or subtle privilege-escalation vulnerabilities if they rely solely on a completely automated dashboard. It is important to keep in mind that automated systems need human supervision because they are not infallible (Nimbus Blue, 2025).</w:t>
      </w:r>
    </w:p>
    <w:p>
      <w:r>
        <w:br w:type="page"/>
      </w:r>
    </w:p>
    <w:p>
      <w:pPr>
        <w:pStyle w:val="Heading1"/>
      </w:pPr>
      <w:r>
        <w:t>4. Question 3 – Production Readiness, Deployment &amp; Operational Evidence</w:t>
      </w:r>
    </w:p>
    <w:p>
      <w:pPr>
        <w:pStyle w:val="Heading2"/>
      </w:pPr>
      <w:r>
        <w:t>4.1 Environment Strategy</w:t>
      </w:r>
    </w:p>
    <w:p>
      <w:pPr>
        <w:spacing w:line="276" w:lineRule="auto"/>
      </w:pPr>
      <w:r>
        <w:t>Development, test/staging and production environments must be established as separate, controlled environments that support progressive verification while maintaining configuration parity. Development environments provide individual developers with the autonomy needed for experimentation and rapid iteration, but must converge on a shared integration environment to detect compatibility issues early (Google Cloud, 2024). A dedicated staging environment that mirrors production hardware, software versions and configuration is essential for pre-release verification, particularly for deployments where rollback capability is limited (Microsoft Azure, 2024).</w:t>
        <w:br/>
        <w:br/>
        <w:t>Configuration drift, where environment differences accumulate over time, represents a significant deployment risk. Uncontrolled environment differences can lead to the "works on my machine" phenomenon where software passes local tests but fails in production due to missing dependencies, version mismatches, or configuration discrepancies (Kubernetes Documentation, 2024). Infrastructure as Code (IaC) tools like Terraform and containerisation with Docker provide mechanisms to enforce environment consistency through declarative configuration that can be version-controlled and applied uniformly across environments (Red Hat, 2024).</w:t>
      </w:r>
    </w:p>
    <w:p>
      <w:pPr>
        <w:pStyle w:val="Heading2"/>
      </w:pPr>
      <w:r>
        <w:t>4.2 Secrets and Configuration Management</w:t>
      </w:r>
    </w:p>
    <w:p>
      <w:pPr>
        <w:spacing w:line="276" w:lineRule="auto"/>
      </w:pPr>
      <w:r>
        <w:t>Sensitive configuration data such as database connection strings, API keys, authentication tokens, and encryption keys must never be hardcoded in source code or committed to version control. Instead, secrets should be managed through dedicated secrets management systems like HashiCorp Vault, Azure Key Vault, or AWS Secrets Manager, which provide encryption at rest and in transit, access auditing, and automatic rotation capabilities (HashiCorp, 2024).</w:t>
        <w:br/>
        <w:br/>
        <w:t>Configuration should be structured hierarchically, with environment-specific settings separated from application code. The Twelve-Factor App methodology recommends storing configuration in environment variables, which provides separation between code and configuration while allowing environment-specific values to be injected at runtime (Heroku, 2024). For CivicConnect, this approach ensures that database connections, API endpoints, and feature flags can vary between development, test and production environments without code changes.</w:t>
      </w:r>
    </w:p>
    <w:p>
      <w:pPr>
        <w:pStyle w:val="Heading2"/>
      </w:pPr>
      <w:r>
        <w:t>4.3 Release and Deployment Process</w:t>
      </w:r>
    </w:p>
    <w:p>
      <w:pPr>
        <w:spacing w:line="276" w:lineRule="auto"/>
      </w:pPr>
      <w:r>
        <w:t>Automated deployment pipelines transform the release process from a manual, error-prone activity into a repeatable, auditable workflow. Continuous Integration/Continuous Deployment (CI/CD) pipelines using tools like GitHub Actions, GitLab CI/CD, or Jenkins automate building, testing, and deployment activities, reducing human error and providing deployment traceability (Atlassian, 2024).</w:t>
        <w:br/>
        <w:br/>
        <w:t>Successful software compilation does not guarantee successful deployment or usability. The deployment process must include verification steps that confirm the application is not only running but also healthy and responding to requests. Health checks, readiness probes, and liveness probes (as implemented in Kubernetes) provide mechanisms for the deployment system to verify application health before routing traffic to new versions (Kubernetes Documentation, 2024).</w:t>
      </w:r>
    </w:p>
    <w:p>
      <w:pPr>
        <w:pStyle w:val="Heading2"/>
      </w:pPr>
      <w:r>
        <w:t>4.4 Failure and Recovery Planning</w:t>
      </w:r>
    </w:p>
    <w:p>
      <w:pPr>
        <w:spacing w:line="276" w:lineRule="auto"/>
      </w:pPr>
      <w:r>
        <w:t>Rollback capability is essential for mitigating deployment failures. Blue-green deployments maintain two identical production environments (blue and green), allowing traffic to be switched between them instantly. If a deployment to the green environment exhibits problems, traffic can be reverted to the blue environment while the issue is investigated (AWS, 2024). For database changes, forward-compatible migrations and backward-compatible rollback scripts must be developed and tested in staging environments before production deployment (Flyway, 2024).</w:t>
        <w:br/>
        <w:br/>
        <w:t>Backup and recovery procedures must be established for both application data and configuration state. Regular automated backups should be configured with retention policies aligned to recovery point objectives (RPO). Recovery procedures must be documented and tested regularly to ensure they work when needed most (NIST, 2020).</w:t>
      </w:r>
    </w:p>
    <w:p>
      <w:pPr>
        <w:pStyle w:val="Heading2"/>
      </w:pPr>
      <w:r>
        <w:t>4.5 Operations and Observability</w:t>
      </w:r>
    </w:p>
    <w:p>
      <w:pPr>
        <w:spacing w:line="276" w:lineRule="auto"/>
      </w:pPr>
      <w:r>
        <w:t>Observability comprises logs, metrics, and traces that together provide insight into system behaviour. Logs capture discrete events and should be structured (JSON format) rather than unstructured text to enable automated parsing and correlation (Elastic, 2024). Metrics provide quantitative measurements of system performance over time, while distributed tracing follows requests across service boundaries to identify performance bottlenecks (OpenTelemetry, 2024).</w:t>
        <w:br/>
        <w:br/>
        <w:t>Monitoring without actionable interpretation is insufficient. Alerting thresholds should be based on service level objectives (SLOs) rather than arbitrary values, and alerts should be actionable with clear runbooks for response (Google Cloud, 2024). For CivicConnect, key metrics would include request latency, error rates, and user authentication success rates, with alerts configured when these metrics deviate from acceptable ranges.</w:t>
      </w:r>
    </w:p>
    <w:p>
      <w:pPr>
        <w:pStyle w:val="Heading2"/>
      </w:pPr>
      <w:r>
        <w:t>4.6 Operational Quality Considerations</w:t>
      </w:r>
    </w:p>
    <w:p>
      <w:pPr>
        <w:spacing w:line="276" w:lineRule="auto"/>
      </w:pPr>
      <w:r>
        <w:t>Production readiness extends beyond functionality to encompass reliability, performance, scalability, cost management, and supportability:</w:t>
      </w:r>
    </w:p>
    <w:p>
      <w:pPr>
        <w:spacing w:line="276" w:lineRule="auto"/>
      </w:pPr>
      <w:r>
        <w:rPr>
          <w:b/>
        </w:rPr>
        <w:t xml:space="preserve">Reliability: </w:t>
      </w:r>
      <w:r>
        <w:t>Measured through availability (uptime percentage) and mean time between failures (MTBF). For a service request management system like CivicConnect, high availability during business hours is essential for maintaining stakeholder trust (ISO/IEC 25010, 2011).</w:t>
      </w:r>
    </w:p>
    <w:p>
      <w:pPr>
        <w:spacing w:line="276" w:lineRule="auto"/>
      </w:pPr>
      <w:r>
        <w:rPr>
          <w:b/>
        </w:rPr>
        <w:t xml:space="preserve">Performance: </w:t>
      </w:r>
      <w:r>
        <w:t>Expectations must be quantified as non-functional requirements, such as "95% of requests shall load within 2 seconds under normal load," with monitoring to verify these requirements are met in production (Microsoft, 2024).</w:t>
      </w:r>
    </w:p>
    <w:p>
      <w:pPr>
        <w:spacing w:line="276" w:lineRule="auto"/>
      </w:pPr>
      <w:r>
        <w:rPr>
          <w:b/>
        </w:rPr>
        <w:t xml:space="preserve">Scalability: </w:t>
      </w:r>
      <w:r>
        <w:t>Considerations include both vertical scaling (increasing resources per instance) and horizontal scaling (adding more instances), with load testing needed to identify scaling limits before they are encountered in production (AWS, 2024).</w:t>
      </w:r>
    </w:p>
    <w:p>
      <w:pPr>
        <w:spacing w:line="276" w:lineRule="auto"/>
      </w:pPr>
      <w:r>
        <w:rPr>
          <w:b/>
        </w:rPr>
        <w:t xml:space="preserve">Cost Management: </w:t>
      </w:r>
      <w:r>
        <w:t>Requires monitoring resource utilisation and implementing cost controls, particularly when using cloud services with consumption-based pricing (Microsoft Azure, 2024).</w:t>
      </w:r>
    </w:p>
    <w:p>
      <w:pPr>
        <w:spacing w:line="276" w:lineRule="auto"/>
      </w:pPr>
      <w:r>
        <w:rPr>
          <w:b/>
        </w:rPr>
        <w:t xml:space="preserve">Supportability: </w:t>
      </w:r>
      <w:r>
        <w:t>Encompasses documentation, logging detail, and diagnostic tooling that enables efficient troubleshooting when issues arise (Red Hat, 2024).</w:t>
      </w:r>
    </w:p>
    <w:p>
      <w:pPr>
        <w:pStyle w:val="Heading2"/>
      </w:pPr>
      <w:r>
        <w:t>4.7 Production-Readiness Evidence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sz w:val="18"/>
              </w:rPr>
              <w:t>Production-Readiness Concern</w:t>
            </w:r>
          </w:p>
        </w:tc>
        <w:tc>
          <w:tcPr>
            <w:tcW w:type="dxa" w:w="2160"/>
            <w:shd w:fill="D9E2F3"/>
          </w:tcPr>
          <w:p>
            <w:r>
              <w:rPr>
                <w:b/>
                <w:sz w:val="18"/>
              </w:rPr>
              <w:t>Risk If Ignored Before Release</w:t>
            </w:r>
          </w:p>
        </w:tc>
        <w:tc>
          <w:tcPr>
            <w:tcW w:type="dxa" w:w="2160"/>
            <w:shd w:fill="D9E2F3"/>
          </w:tcPr>
          <w:p>
            <w:r>
              <w:rPr>
                <w:b/>
                <w:sz w:val="18"/>
              </w:rPr>
              <w:t>Evidence Required Before Release</w:t>
            </w:r>
          </w:p>
        </w:tc>
        <w:tc>
          <w:tcPr>
            <w:tcW w:type="dxa" w:w="2160"/>
            <w:shd w:fill="D9E2F3"/>
          </w:tcPr>
          <w:p>
            <w:r>
              <w:rPr>
                <w:b/>
                <w:sz w:val="18"/>
              </w:rPr>
              <w:t>Evidence to Monitor After Release</w:t>
            </w:r>
          </w:p>
        </w:tc>
      </w:tr>
      <w:tr>
        <w:tc>
          <w:tcPr>
            <w:tcW w:type="dxa" w:w="2160"/>
          </w:tcPr>
          <w:p>
            <w:r>
              <w:rPr>
                <w:sz w:val="18"/>
              </w:rPr>
              <w:t>Database Migration Compatibility</w:t>
            </w:r>
          </w:p>
        </w:tc>
        <w:tc>
          <w:tcPr>
            <w:tcW w:type="dxa" w:w="2160"/>
          </w:tcPr>
          <w:p>
            <w:r>
              <w:rPr>
                <w:sz w:val="18"/>
              </w:rPr>
              <w:t>Data corruption or loss during deployment; service interruption</w:t>
            </w:r>
          </w:p>
        </w:tc>
        <w:tc>
          <w:tcPr>
            <w:tcW w:type="dxa" w:w="2160"/>
          </w:tcPr>
          <w:p>
            <w:r>
              <w:rPr>
                <w:sz w:val="18"/>
              </w:rPr>
              <w:t>Migration script tested in staging; rollback procedure documented and tested</w:t>
            </w:r>
          </w:p>
        </w:tc>
        <w:tc>
          <w:tcPr>
            <w:tcW w:type="dxa" w:w="2160"/>
          </w:tcPr>
          <w:p>
            <w:r>
              <w:rPr>
                <w:sz w:val="18"/>
              </w:rPr>
              <w:t>Migration success rate; data consistency checks; error rates</w:t>
            </w:r>
          </w:p>
        </w:tc>
      </w:tr>
      <w:tr>
        <w:tc>
          <w:tcPr>
            <w:tcW w:type="dxa" w:w="2160"/>
          </w:tcPr>
          <w:p>
            <w:r>
              <w:rPr>
                <w:sz w:val="18"/>
              </w:rPr>
              <w:t>Configuration Secret Management</w:t>
            </w:r>
          </w:p>
        </w:tc>
        <w:tc>
          <w:tcPr>
            <w:tcW w:type="dxa" w:w="2160"/>
          </w:tcPr>
          <w:p>
            <w:r>
              <w:rPr>
                <w:sz w:val="18"/>
              </w:rPr>
              <w:t>Unauthorised access to sensitive data; credential leakage</w:t>
            </w:r>
          </w:p>
        </w:tc>
        <w:tc>
          <w:tcPr>
            <w:tcW w:type="dxa" w:w="2160"/>
          </w:tcPr>
          <w:p>
            <w:r>
              <w:rPr>
                <w:sz w:val="18"/>
              </w:rPr>
              <w:t>Secrets stored in dedicated vault; no secrets in source code; access controls defined</w:t>
            </w:r>
          </w:p>
        </w:tc>
        <w:tc>
          <w:tcPr>
            <w:tcW w:type="dxa" w:w="2160"/>
          </w:tcPr>
          <w:p>
            <w:r>
              <w:rPr>
                <w:sz w:val="18"/>
              </w:rPr>
              <w:t>Access audit logs; secret rotation compliance</w:t>
            </w:r>
          </w:p>
        </w:tc>
      </w:tr>
      <w:tr>
        <w:tc>
          <w:tcPr>
            <w:tcW w:type="dxa" w:w="2160"/>
          </w:tcPr>
          <w:p>
            <w:r>
              <w:rPr>
                <w:sz w:val="18"/>
              </w:rPr>
              <w:t>Health Monitoring &amp; Alerting</w:t>
            </w:r>
          </w:p>
        </w:tc>
        <w:tc>
          <w:tcPr>
            <w:tcW w:type="dxa" w:w="2160"/>
          </w:tcPr>
          <w:p>
            <w:r>
              <w:rPr>
                <w:sz w:val="18"/>
              </w:rPr>
              <w:t>Unrecognised service degradation; prolonged downtime</w:t>
            </w:r>
          </w:p>
        </w:tc>
        <w:tc>
          <w:tcPr>
            <w:tcW w:type="dxa" w:w="2160"/>
          </w:tcPr>
          <w:p>
            <w:r>
              <w:rPr>
                <w:sz w:val="18"/>
              </w:rPr>
              <w:t>Health endpoints implemented; alerting thresholds defined based on SLOs</w:t>
            </w:r>
          </w:p>
        </w:tc>
        <w:tc>
          <w:tcPr>
            <w:tcW w:type="dxa" w:w="2160"/>
          </w:tcPr>
          <w:p>
            <w:r>
              <w:rPr>
                <w:sz w:val="18"/>
              </w:rPr>
              <w:t>Alert volume and response times; SLO compliance</w:t>
            </w:r>
          </w:p>
        </w:tc>
      </w:tr>
      <w:tr>
        <w:tc>
          <w:tcPr>
            <w:tcW w:type="dxa" w:w="2160"/>
          </w:tcPr>
          <w:p>
            <w:r>
              <w:rPr>
                <w:sz w:val="18"/>
              </w:rPr>
              <w:t>Rollback Capability</w:t>
            </w:r>
          </w:p>
        </w:tc>
        <w:tc>
          <w:tcPr>
            <w:tcW w:type="dxa" w:w="2160"/>
          </w:tcPr>
          <w:p>
            <w:r>
              <w:rPr>
                <w:sz w:val="18"/>
              </w:rPr>
              <w:t>Extended downtime during failed deployments</w:t>
            </w:r>
          </w:p>
        </w:tc>
        <w:tc>
          <w:tcPr>
            <w:tcW w:type="dxa" w:w="2160"/>
          </w:tcPr>
          <w:p>
            <w:r>
              <w:rPr>
                <w:sz w:val="18"/>
              </w:rPr>
              <w:t>Blue-green or canary deployment capability verified in staging; rollback procedure tested</w:t>
            </w:r>
          </w:p>
        </w:tc>
        <w:tc>
          <w:tcPr>
            <w:tcW w:type="dxa" w:w="2160"/>
          </w:tcPr>
          <w:p>
            <w:r>
              <w:rPr>
                <w:sz w:val="18"/>
              </w:rPr>
              <w:t>Rollback success rate; deployment failure rate</w:t>
            </w:r>
          </w:p>
        </w:tc>
      </w:tr>
      <w:tr>
        <w:tc>
          <w:tcPr>
            <w:tcW w:type="dxa" w:w="2160"/>
          </w:tcPr>
          <w:p>
            <w:r>
              <w:rPr>
                <w:sz w:val="18"/>
              </w:rPr>
              <w:t>Performance Under Load</w:t>
            </w:r>
          </w:p>
        </w:tc>
        <w:tc>
          <w:tcPr>
            <w:tcW w:type="dxa" w:w="2160"/>
          </w:tcPr>
          <w:p>
            <w:r>
              <w:rPr>
                <w:sz w:val="18"/>
              </w:rPr>
              <w:t>Service degradation during peak usage; poor user experience</w:t>
            </w:r>
          </w:p>
        </w:tc>
        <w:tc>
          <w:tcPr>
            <w:tcW w:type="dxa" w:w="2160"/>
          </w:tcPr>
          <w:p>
            <w:r>
              <w:rPr>
                <w:sz w:val="18"/>
              </w:rPr>
              <w:t>Load testing results showing acceptable performance under expected concurrent users</w:t>
            </w:r>
          </w:p>
        </w:tc>
        <w:tc>
          <w:tcPr>
            <w:tcW w:type="dxa" w:w="2160"/>
          </w:tcPr>
          <w:p>
            <w:r>
              <w:rPr>
                <w:sz w:val="18"/>
              </w:rPr>
              <w:t>Response time percentiles; error rate during peak periods</w:t>
            </w:r>
          </w:p>
        </w:tc>
      </w:tr>
      <w:tr>
        <w:tc>
          <w:tcPr>
            <w:tcW w:type="dxa" w:w="2160"/>
          </w:tcPr>
          <w:p>
            <w:r>
              <w:rPr>
                <w:sz w:val="18"/>
              </w:rPr>
              <w:t>Backup &amp; Recovery Readiness</w:t>
            </w:r>
          </w:p>
        </w:tc>
        <w:tc>
          <w:tcPr>
            <w:tcW w:type="dxa" w:w="2160"/>
          </w:tcPr>
          <w:p>
            <w:r>
              <w:rPr>
                <w:sz w:val="18"/>
              </w:rPr>
              <w:t>Permanent data loss during infrastructure failure</w:t>
            </w:r>
          </w:p>
        </w:tc>
        <w:tc>
          <w:tcPr>
            <w:tcW w:type="dxa" w:w="2160"/>
          </w:tcPr>
          <w:p>
            <w:r>
              <w:rPr>
                <w:sz w:val="18"/>
              </w:rPr>
              <w:t>Automated backup schedule; recovery procedure documented and tested</w:t>
            </w:r>
          </w:p>
        </w:tc>
        <w:tc>
          <w:tcPr>
            <w:tcW w:type="dxa" w:w="2160"/>
          </w:tcPr>
          <w:p>
            <w:r>
              <w:rPr>
                <w:sz w:val="18"/>
              </w:rPr>
              <w:t>Backup success rate; recovery time objectives met</w:t>
            </w:r>
          </w:p>
        </w:tc>
      </w:tr>
      <w:tr>
        <w:tc>
          <w:tcPr>
            <w:tcW w:type="dxa" w:w="2160"/>
          </w:tcPr>
          <w:p>
            <w:r>
              <w:rPr>
                <w:sz w:val="18"/>
              </w:rPr>
              <w:t>Security Patch Management</w:t>
            </w:r>
          </w:p>
        </w:tc>
        <w:tc>
          <w:tcPr>
            <w:tcW w:type="dxa" w:w="2160"/>
          </w:tcPr>
          <w:p>
            <w:r>
              <w:rPr>
                <w:sz w:val="18"/>
              </w:rPr>
              <w:t>Vulnerability exploitation; compliance violations</w:t>
            </w:r>
          </w:p>
        </w:tc>
        <w:tc>
          <w:tcPr>
            <w:tcW w:type="dxa" w:w="2160"/>
          </w:tcPr>
          <w:p>
            <w:r>
              <w:rPr>
                <w:sz w:val="18"/>
              </w:rPr>
              <w:t>Patch management process defined; vulnerability scanning integrated into pipeline</w:t>
            </w:r>
          </w:p>
        </w:tc>
        <w:tc>
          <w:tcPr>
            <w:tcW w:type="dxa" w:w="2160"/>
          </w:tcPr>
          <w:p>
            <w:r>
              <w:rPr>
                <w:sz w:val="18"/>
              </w:rPr>
              <w:t>Patch compliance rate; time to patch critical vulnerabilities</w:t>
            </w:r>
          </w:p>
        </w:tc>
      </w:tr>
      <w:tr>
        <w:tc>
          <w:tcPr>
            <w:tcW w:type="dxa" w:w="2160"/>
          </w:tcPr>
          <w:p>
            <w:r>
              <w:rPr>
                <w:sz w:val="18"/>
              </w:rPr>
              <w:t>Cost Control &amp; Budget Management</w:t>
            </w:r>
          </w:p>
        </w:tc>
        <w:tc>
          <w:tcPr>
            <w:tcW w:type="dxa" w:w="2160"/>
          </w:tcPr>
          <w:p>
            <w:r>
              <w:rPr>
                <w:sz w:val="18"/>
              </w:rPr>
              <w:t>Uncontrolled cloud spending; project financial risk</w:t>
            </w:r>
          </w:p>
        </w:tc>
        <w:tc>
          <w:tcPr>
            <w:tcW w:type="dxa" w:w="2160"/>
          </w:tcPr>
          <w:p>
            <w:r>
              <w:rPr>
                <w:sz w:val="18"/>
              </w:rPr>
              <w:t>Cost alerts configured; budget limits set; resource tagging implemented</w:t>
            </w:r>
          </w:p>
        </w:tc>
        <w:tc>
          <w:tcPr>
            <w:tcW w:type="dxa" w:w="2160"/>
          </w:tcPr>
          <w:p>
            <w:r>
              <w:rPr>
                <w:sz w:val="18"/>
              </w:rPr>
              <w:t>Actual vs. budgeted spending; resource utilisation efficiency</w:t>
            </w:r>
          </w:p>
        </w:tc>
      </w:tr>
    </w:tbl>
    <w:p/>
    <w:p>
      <w:pPr>
        <w:pStyle w:val="Heading2"/>
      </w:pPr>
      <w:r>
        <w:t>4.8 Critical Question Analysis</w:t>
      </w:r>
    </w:p>
    <w:p>
      <w:r>
        <w:rPr>
          <w:b/>
        </w:rPr>
        <w:t>Why can software that passes functional tests and runs successfully on a developer's machine still be unready for production?</w:t>
      </w:r>
    </w:p>
    <w:p>
      <w:pPr>
        <w:spacing w:line="276" w:lineRule="auto"/>
      </w:pPr>
      <w:r>
        <w:t>Functional tests verify that software performs its intended operations under controlled conditions, but production readiness requires evidence that the software will perform reliably, securely, and efficiently under real-world conditions. Several gaps exist between development environment success and production readiness:</w:t>
      </w:r>
    </w:p>
    <w:p>
      <w:pPr>
        <w:spacing w:line="276" w:lineRule="auto"/>
      </w:pPr>
      <w:r>
        <w:rPr>
          <w:b/>
        </w:rPr>
        <w:t xml:space="preserve">Environmental Differences: </w:t>
      </w:r>
      <w:r>
        <w:t>Development environments rarely match production hardware specifications, network topology, security configurations, or dependency versions. The "works on my machine" scenario fails to account for production-specific constraints like firewall rules, load balancer configurations, or cloud provider limitations (Kubernetes Documentation, 2024).</w:t>
      </w:r>
    </w:p>
    <w:p>
      <w:pPr>
        <w:spacing w:line="276" w:lineRule="auto"/>
      </w:pPr>
      <w:r>
        <w:rPr>
          <w:b/>
        </w:rPr>
        <w:t xml:space="preserve">Scalability Limitations: </w:t>
      </w:r>
      <w:r>
        <w:t>Local testing typically involves minimal concurrent users and data volumes. Production environments must handle peak loads, concurrent user sessions, and database sizes that may be orders of magnitude larger than development environments can simulate (AWS, 2024).</w:t>
      </w:r>
    </w:p>
    <w:p>
      <w:pPr>
        <w:spacing w:line="276" w:lineRule="auto"/>
      </w:pPr>
      <w:r>
        <w:rPr>
          <w:b/>
        </w:rPr>
        <w:t xml:space="preserve">Operational Requirements: </w:t>
      </w:r>
      <w:r>
        <w:t>Functional tests verify what the software does, but not how it behaves operationally. Production readiness requires evidence of monitoring integration, log aggregation, alert responsiveness, backup functionality, and recovery procedures—none of which are typically exercised in development environments (Google Cloud, 2024).</w:t>
      </w:r>
    </w:p>
    <w:p>
      <w:pPr>
        <w:spacing w:line="276" w:lineRule="auto"/>
      </w:pPr>
      <w:r>
        <w:rPr>
          <w:b/>
        </w:rPr>
        <w:t xml:space="preserve">Security Posture: </w:t>
      </w:r>
      <w:r>
        <w:t>Development environments often have relaxed security controls for convenience. Production environments require proper authentication, authorisation, encryption, and compliance controls that may fundamentally change how the application behaves and communicates (NIST, 2020).</w:t>
      </w:r>
    </w:p>
    <w:p>
      <w:pPr>
        <w:spacing w:line="276" w:lineRule="auto"/>
      </w:pPr>
      <w:r>
        <w:rPr>
          <w:b/>
        </w:rPr>
        <w:t xml:space="preserve">Dependency Management: </w:t>
      </w:r>
      <w:r>
        <w:t>Development machines may have globally installed dependencies that aren't explicitly declared, leading to missing dependencies in production. Containerisation and proper dependency declaration bridge this gap but require specific engineering practices (Red Hat, 2024).</w:t>
      </w:r>
    </w:p>
    <w:p>
      <w:pPr>
        <w:spacing w:line="276" w:lineRule="auto"/>
      </w:pPr>
      <w:r>
        <w:t>The transition from functional correctness to production readiness represents a shift from "does it work?" to "can we reliably operate it at scale?"—a distinction that requires dedicated engineering evidence beyond passing functional tests.</w:t>
      </w:r>
    </w:p>
    <w:p>
      <w:r>
        <w:br w:type="page"/>
      </w:r>
    </w:p>
    <w:p>
      <w:pPr>
        <w:pStyle w:val="Heading1"/>
      </w:pPr>
      <w:r>
        <w:t>5. Question 4 – Research-to-M3 Engineering Map</w:t>
      </w:r>
    </w:p>
    <w:p>
      <w:pPr>
        <w:spacing w:line="276" w:lineRule="auto"/>
      </w:pPr>
      <w:r>
        <w:t>This section synthesises six key research findings from Questions 1–3 that will inform engineering decisions during Milestone 3. The table below maps each finding to its engineering concern, candidate approaches, trade-offs, and the decisions that M3 must still make.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sz w:val="18"/>
              </w:rPr>
              <w:t>Research Finding</w:t>
            </w:r>
          </w:p>
        </w:tc>
        <w:tc>
          <w:tcPr>
            <w:tcW w:type="dxa" w:w="1728"/>
            <w:shd w:fill="D9E2F3"/>
          </w:tcPr>
          <w:p>
            <w:r>
              <w:rPr>
                <w:b/>
                <w:sz w:val="18"/>
              </w:rPr>
              <w:t>Engineering Concern It Addresses</w:t>
            </w:r>
          </w:p>
        </w:tc>
        <w:tc>
          <w:tcPr>
            <w:tcW w:type="dxa" w:w="1728"/>
            <w:shd w:fill="D9E2F3"/>
          </w:tcPr>
          <w:p>
            <w:r>
              <w:rPr>
                <w:b/>
                <w:sz w:val="18"/>
              </w:rPr>
              <w:t>Candidate Approach / Evidence to Consider</w:t>
            </w:r>
          </w:p>
        </w:tc>
        <w:tc>
          <w:tcPr>
            <w:tcW w:type="dxa" w:w="1728"/>
            <w:shd w:fill="D9E2F3"/>
          </w:tcPr>
          <w:p>
            <w:r>
              <w:rPr>
                <w:b/>
                <w:sz w:val="18"/>
              </w:rPr>
              <w:t>Trade-off / Limitation Found in Research</w:t>
            </w:r>
          </w:p>
        </w:tc>
        <w:tc>
          <w:tcPr>
            <w:tcW w:type="dxa" w:w="1728"/>
            <w:shd w:fill="D9E2F3"/>
          </w:tcPr>
          <w:p>
            <w:r>
              <w:rPr>
                <w:b/>
                <w:sz w:val="18"/>
              </w:rPr>
              <w:t>Decision M3 Must Still Make</w:t>
            </w:r>
          </w:p>
        </w:tc>
      </w:tr>
      <w:tr>
        <w:tc>
          <w:tcPr>
            <w:tcW w:type="dxa" w:w="1728"/>
          </w:tcPr>
          <w:p>
            <w:r>
              <w:rPr>
                <w:sz w:val="18"/>
              </w:rPr>
              <w:t>Environment configuration drift creates deployment risk when environments differ substantially.</w:t>
            </w:r>
          </w:p>
        </w:tc>
        <w:tc>
          <w:tcPr>
            <w:tcW w:type="dxa" w:w="1728"/>
          </w:tcPr>
          <w:p>
            <w:r>
              <w:rPr>
                <w:sz w:val="18"/>
              </w:rPr>
              <w:t>Uncontrolled differences between development, staging and production environments can cause "works on my machine" failures.</w:t>
            </w:r>
          </w:p>
        </w:tc>
        <w:tc>
          <w:tcPr>
            <w:tcW w:type="dxa" w:w="1728"/>
          </w:tcPr>
          <w:p>
            <w:r>
              <w:rPr>
                <w:sz w:val="18"/>
              </w:rPr>
              <w:t>Infrastructure as Code (Terraform) and containerisation (Docker) to enforce environment parity through version-controlled declarative configuration.</w:t>
            </w:r>
          </w:p>
        </w:tc>
        <w:tc>
          <w:tcPr>
            <w:tcW w:type="dxa" w:w="1728"/>
          </w:tcPr>
          <w:p>
            <w:r>
              <w:rPr>
                <w:sz w:val="18"/>
              </w:rPr>
              <w:t>IaC requires initial learning investment and may slow initial development velocity.</w:t>
            </w:r>
          </w:p>
        </w:tc>
        <w:tc>
          <w:tcPr>
            <w:tcW w:type="dxa" w:w="1728"/>
          </w:tcPr>
          <w:p>
            <w:r>
              <w:rPr>
                <w:sz w:val="18"/>
              </w:rPr>
              <w:t>Which IaC tool aligns with CivicConnect's technical stack and team expertise?</w:t>
            </w:r>
          </w:p>
        </w:tc>
      </w:tr>
      <w:tr>
        <w:tc>
          <w:tcPr>
            <w:tcW w:type="dxa" w:w="1728"/>
          </w:tcPr>
          <w:p>
            <w:r>
              <w:rPr>
                <w:sz w:val="18"/>
              </w:rPr>
              <w:t>Hardcoded secrets in source code create security vulnerabilities and operational risks.</w:t>
            </w:r>
          </w:p>
        </w:tc>
        <w:tc>
          <w:tcPr>
            <w:tcW w:type="dxa" w:w="1728"/>
          </w:tcPr>
          <w:p>
            <w:r>
              <w:rPr>
                <w:sz w:val="18"/>
              </w:rPr>
              <w:t>Sensitive credentials exposed in version control; inability to rotate credentials without code changes.</w:t>
            </w:r>
          </w:p>
        </w:tc>
        <w:tc>
          <w:tcPr>
            <w:tcW w:type="dxa" w:w="1728"/>
          </w:tcPr>
          <w:p>
            <w:r>
              <w:rPr>
                <w:sz w:val="18"/>
              </w:rPr>
              <w:t>Dedicated secrets management (HashiCorp Vault, Azure Key Vault) with automated rotation and access auditing.</w:t>
            </w:r>
          </w:p>
        </w:tc>
        <w:tc>
          <w:tcPr>
            <w:tcW w:type="dxa" w:w="1728"/>
          </w:tcPr>
          <w:p>
            <w:r>
              <w:rPr>
                <w:sz w:val="18"/>
              </w:rPr>
              <w:t>Secrets management adds operational complexity and may require additional infrastructure.</w:t>
            </w:r>
          </w:p>
        </w:tc>
        <w:tc>
          <w:tcPr>
            <w:tcW w:type="dxa" w:w="1728"/>
          </w:tcPr>
          <w:p>
            <w:r>
              <w:rPr>
                <w:sz w:val="18"/>
              </w:rPr>
              <w:t>How will secrets be managed given CivicConnect's deployment platform constraints and cost considerations?</w:t>
            </w:r>
          </w:p>
        </w:tc>
      </w:tr>
      <w:tr>
        <w:tc>
          <w:tcPr>
            <w:tcW w:type="dxa" w:w="1728"/>
          </w:tcPr>
          <w:p>
            <w:r>
              <w:rPr>
                <w:sz w:val="18"/>
              </w:rPr>
              <w:t>Successful compilation ≠ successful deployment; health verification is essential.</w:t>
            </w:r>
          </w:p>
        </w:tc>
        <w:tc>
          <w:tcPr>
            <w:tcW w:type="dxa" w:w="1728"/>
          </w:tcPr>
          <w:p>
            <w:r>
              <w:rPr>
                <w:sz w:val="18"/>
              </w:rPr>
              <w:t>Deployment failures may go undetected if only build success is monitored.</w:t>
            </w:r>
          </w:p>
        </w:tc>
        <w:tc>
          <w:tcPr>
            <w:tcW w:type="dxa" w:w="1728"/>
          </w:tcPr>
          <w:p>
            <w:r>
              <w:rPr>
                <w:sz w:val="18"/>
              </w:rPr>
              <w:t>CI/CD pipelines with automated deployment validation including health checks, readiness probes, and smoke tests.</w:t>
            </w:r>
          </w:p>
        </w:tc>
        <w:tc>
          <w:tcPr>
            <w:tcW w:type="dxa" w:w="1728"/>
          </w:tcPr>
          <w:p>
            <w:r>
              <w:rPr>
                <w:sz w:val="18"/>
              </w:rPr>
              <w:t>Pipeline complexity can obscure root causes; over-reliance on automation may miss configuration-specific issues.</w:t>
            </w:r>
          </w:p>
        </w:tc>
        <w:tc>
          <w:tcPr>
            <w:tcW w:type="dxa" w:w="1728"/>
          </w:tcPr>
          <w:p>
            <w:r>
              <w:rPr>
                <w:sz w:val="18"/>
              </w:rPr>
              <w:t>What deployment validation steps (health checks, readiness probes) are most critical for CivicConnect's architecture?</w:t>
            </w:r>
          </w:p>
        </w:tc>
      </w:tr>
      <w:tr>
        <w:tc>
          <w:tcPr>
            <w:tcW w:type="dxa" w:w="1728"/>
          </w:tcPr>
          <w:p>
            <w:r>
              <w:rPr>
                <w:sz w:val="18"/>
              </w:rPr>
              <w:t>Rollback capability mitigates deployment failure impact but requires specific engineering.</w:t>
            </w:r>
          </w:p>
        </w:tc>
        <w:tc>
          <w:tcPr>
            <w:tcW w:type="dxa" w:w="1728"/>
          </w:tcPr>
          <w:p>
            <w:r>
              <w:rPr>
                <w:sz w:val="18"/>
              </w:rPr>
              <w:t>Failed deployments without rollback options can cause extended downtime.</w:t>
            </w:r>
          </w:p>
        </w:tc>
        <w:tc>
          <w:tcPr>
            <w:tcW w:type="dxa" w:w="1728"/>
          </w:tcPr>
          <w:p>
            <w:r>
              <w:rPr>
                <w:sz w:val="18"/>
              </w:rPr>
              <w:t>Blue-green deployments or canary releases with automated traffic switching and rollback procedures.</w:t>
            </w:r>
          </w:p>
        </w:tc>
        <w:tc>
          <w:tcPr>
            <w:tcW w:type="dxa" w:w="1728"/>
          </w:tcPr>
          <w:p>
            <w:r>
              <w:rPr>
                <w:sz w:val="18"/>
              </w:rPr>
              <w:t>Blue-green requires duplicate infrastructure; canary releases delay full user exposure.</w:t>
            </w:r>
          </w:p>
        </w:tc>
        <w:tc>
          <w:tcPr>
            <w:tcW w:type="dxa" w:w="1728"/>
          </w:tcPr>
          <w:p>
            <w:r>
              <w:rPr>
                <w:sz w:val="18"/>
              </w:rPr>
              <w:t>What rollback strategy balances risk mitigation with CivicConnect's infrastructure constraints?</w:t>
            </w:r>
          </w:p>
        </w:tc>
      </w:tr>
      <w:tr>
        <w:tc>
          <w:tcPr>
            <w:tcW w:type="dxa" w:w="1728"/>
          </w:tcPr>
          <w:p>
            <w:r>
              <w:rPr>
                <w:sz w:val="18"/>
              </w:rPr>
              <w:t>Monitoring without SLO-based alerting produces alert fatigue without improving operational awareness.</w:t>
            </w:r>
          </w:p>
        </w:tc>
        <w:tc>
          <w:tcPr>
            <w:tcW w:type="dxa" w:w="1728"/>
          </w:tcPr>
          <w:p>
            <w:r>
              <w:rPr>
                <w:sz w:val="18"/>
              </w:rPr>
              <w:t>Alert fatigue from irrelevant notifications; missed critical incidents.</w:t>
            </w:r>
          </w:p>
        </w:tc>
        <w:tc>
          <w:tcPr>
            <w:tcW w:type="dxa" w:w="1728"/>
          </w:tcPr>
          <w:p>
            <w:r>
              <w:rPr>
                <w:sz w:val="18"/>
              </w:rPr>
              <w:t>Define Service Level Objectives (SLOs) for key user journeys and configure alerts based on SLO breaches rather than arbitrary thresholds.</w:t>
            </w:r>
          </w:p>
        </w:tc>
        <w:tc>
          <w:tcPr>
            <w:tcW w:type="dxa" w:w="1728"/>
          </w:tcPr>
          <w:p>
            <w:r>
              <w:rPr>
                <w:sz w:val="18"/>
              </w:rPr>
              <w:t>SLO definition requires historical performance data that may not exist for new systems.</w:t>
            </w:r>
          </w:p>
        </w:tc>
        <w:tc>
          <w:tcPr>
            <w:tcW w:type="dxa" w:w="1728"/>
          </w:tcPr>
          <w:p>
            <w:r>
              <w:rPr>
                <w:sz w:val="18"/>
              </w:rPr>
              <w:t>What SLOs are appropriate for CivicConnect given stakeholder expectations and technical constraints?</w:t>
            </w:r>
          </w:p>
        </w:tc>
      </w:tr>
      <w:tr>
        <w:tc>
          <w:tcPr>
            <w:tcW w:type="dxa" w:w="1728"/>
          </w:tcPr>
          <w:p>
            <w:r>
              <w:rPr>
                <w:sz w:val="18"/>
              </w:rPr>
              <w:t>Cost control requires proactive monitoring in consumption-based cloud environments.</w:t>
            </w:r>
          </w:p>
        </w:tc>
        <w:tc>
          <w:tcPr>
            <w:tcW w:type="dxa" w:w="1728"/>
          </w:tcPr>
          <w:p>
            <w:r>
              <w:rPr>
                <w:sz w:val="18"/>
              </w:rPr>
              <w:t>Uncontrolled cloud spending can exceed project budgets without warning.</w:t>
            </w:r>
          </w:p>
        </w:tc>
        <w:tc>
          <w:tcPr>
            <w:tcW w:type="dxa" w:w="1728"/>
          </w:tcPr>
          <w:p>
            <w:r>
              <w:rPr>
                <w:sz w:val="18"/>
              </w:rPr>
              <w:t>Resource tagging, budget alerts, and automated scaling policies based on utilisation metrics.</w:t>
            </w:r>
          </w:p>
        </w:tc>
        <w:tc>
          <w:tcPr>
            <w:tcW w:type="dxa" w:w="1728"/>
          </w:tcPr>
          <w:p>
            <w:r>
              <w:rPr>
                <w:sz w:val="18"/>
              </w:rPr>
              <w:t>Cost optimisation may conflict with performance requirements; aggressive scaling may impact user experience during rapid load changes.</w:t>
            </w:r>
          </w:p>
        </w:tc>
        <w:tc>
          <w:tcPr>
            <w:tcW w:type="dxa" w:w="1728"/>
          </w:tcPr>
          <w:p>
            <w:r>
              <w:rPr>
                <w:sz w:val="18"/>
              </w:rPr>
              <w:t>What cost monitoring approach aligns with CivicConnect's funding model while maintaining adequate performance?</w:t>
            </w:r>
          </w:p>
        </w:tc>
      </w:tr>
    </w:tbl>
    <w:p/>
    <w:p>
      <w:pPr>
        <w:spacing w:line="276" w:lineRule="auto"/>
      </w:pPr>
      <w:r>
        <w:t>These findings establish the engineering foundation for Milestone 3 decision-making. The research indicates that production readiness requires deliberate engineering investment across environment management, secrets handling, deployment automation, failure recovery, operational monitoring, and cost governance. Each finding presents a trade-off that M3 must evaluate in the context of CivicConnect's specific requirements, constraints, and stakeholder expectations.</w:t>
      </w:r>
    </w:p>
    <w:p>
      <w:r>
        <w:br w:type="page"/>
      </w:r>
    </w:p>
    <w:p>
      <w:pPr>
        <w:pStyle w:val="Heading1"/>
      </w:pPr>
      <w:r>
        <w:t>6. Conclusion</w:t>
      </w:r>
    </w:p>
    <w:p>
      <w:pPr>
        <w:spacing w:line="276" w:lineRule="auto"/>
      </w:pPr>
      <w:r>
        <w:t>This report has presented research on quality engineering, security engineering, and production readiness relevant to web-based service delivery platforms. The investigation confirms that quality requires more than passing tests—it demands risk-based verification strategies that apply complementary forms of evidence according to the likelihood and impact of potential failures.</w:t>
        <w:br/>
        <w:br/>
        <w:t>Security engineering requires systematic threat modelling to identify, prioritise, and mitigate risks before they can be exploited. The STRIDE framework provides a structured approach that establishes traceable links between threats, controls, and verification activities.</w:t>
        <w:br/>
        <w:br/>
        <w:t>Production readiness extends beyond functional correctness to encompass environment consistency, secrets management, deployment automation, failure recovery, and operational observability. Each of these areas requires engineering evidence that goes beyond what development environment testing can provide.</w:t>
        <w:br/>
        <w:br/>
        <w:t>The findings presented here are intended to inform—not determine—the engineering decisions that will be made during Milestone 3. The research has identified candidate approaches, trade-offs, and open questions that the team will need to resolve in the context of CivicConnect's specific requirements, constraints, and stakeholder expectations.</w:t>
      </w:r>
    </w:p>
    <w:p>
      <w:r>
        <w:br w:type="page"/>
      </w:r>
    </w:p>
    <w:p>
      <w:pPr>
        <w:pStyle w:val="Heading1"/>
      </w:pPr>
      <w:r>
        <w:t>7. Reference List</w:t>
      </w:r>
    </w:p>
    <w:p>
      <w:pPr>
        <w:pStyle w:val="ListNumber"/>
        <w:spacing w:line="276" w:lineRule="auto"/>
      </w:pPr>
      <w:r>
        <w:t>AWS. (2024). AWS Well-Architected Framework: Performance Efficiency Pillar. Retrieved from https://docs.aws.amazon.com/wellarchitected/latest/performance-efficiency-pillar/welcome.html</w:t>
      </w:r>
    </w:p>
    <w:p>
      <w:pPr>
        <w:pStyle w:val="ListNumber"/>
        <w:spacing w:line="276" w:lineRule="auto"/>
      </w:pPr>
      <w:r>
        <w:t>AWS. (2024). Blue/Green Deployments on AWS. Retrieved from https://docs.aws.amazon.com/whitepapers/latest/overview-deployment-options/bluegreen-deployments.html</w:t>
      </w:r>
    </w:p>
    <w:p>
      <w:pPr>
        <w:pStyle w:val="ListNumber"/>
        <w:spacing w:line="276" w:lineRule="auto"/>
      </w:pPr>
      <w:r>
        <w:t>Atlassian. (2024). Continuous Integration vs. Continuous Deployment. Retrieved from https://www.atlassian.com/continuous-delivery/ci-vs-ci-vs-cd</w:t>
      </w:r>
    </w:p>
    <w:p>
      <w:pPr>
        <w:pStyle w:val="ListNumber"/>
        <w:spacing w:line="276" w:lineRule="auto"/>
      </w:pPr>
      <w:r>
        <w:t>Black, R. (2009). Managing the testing process: practical tools and techniques for managing hardware and software testing. 3rd edn. Indianapolis, IN: Wiley.</w:t>
      </w:r>
    </w:p>
    <w:p>
      <w:pPr>
        <w:pStyle w:val="ListNumber"/>
        <w:spacing w:line="276" w:lineRule="auto"/>
      </w:pPr>
      <w:r>
        <w:t>Cloud Services New York City. (2025). Limitations of Automated Security Tools. Retrieved from https://www.cloudservicesnyc.com/</w:t>
      </w:r>
    </w:p>
    <w:p>
      <w:pPr>
        <w:pStyle w:val="ListNumber"/>
        <w:spacing w:line="276" w:lineRule="auto"/>
      </w:pPr>
      <w:r>
        <w:t>Duke, M. (2026). Threat Modelling Fundamentals. Software Security Journal.</w:t>
      </w:r>
    </w:p>
    <w:p>
      <w:pPr>
        <w:pStyle w:val="ListNumber"/>
        <w:spacing w:line="276" w:lineRule="auto"/>
      </w:pPr>
      <w:r>
        <w:t>Duvall, P.M., Matyas, S. and Glover, A. (2007). Continuous integration: improving software quality and reducing risk. Upper Saddle River, NJ: Addison-Wesley.</w:t>
      </w:r>
    </w:p>
    <w:p>
      <w:pPr>
        <w:pStyle w:val="ListNumber"/>
        <w:spacing w:line="276" w:lineRule="auto"/>
      </w:pPr>
      <w:r>
        <w:t>Elastic. (2024). Structured Logging Best Practices. Retrieved from https://www.elastic.co/guide/en/ecs/current/ecs-logging.html</w:t>
      </w:r>
    </w:p>
    <w:p>
      <w:pPr>
        <w:pStyle w:val="ListNumber"/>
        <w:spacing w:line="276" w:lineRule="auto"/>
      </w:pPr>
      <w:r>
        <w:t>Flyway. (2024). Database Migrations Made Easy. Retrieved from https://flywaydb.org/</w:t>
      </w:r>
    </w:p>
    <w:p>
      <w:pPr>
        <w:pStyle w:val="ListNumber"/>
        <w:spacing w:line="276" w:lineRule="auto"/>
      </w:pPr>
      <w:r>
        <w:t>Google Cloud. (2024). Building Secure and Reliable Systems. Retrieved from https://cloud.google.com/architecture/framework/security/reliability</w:t>
      </w:r>
    </w:p>
    <w:p>
      <w:pPr>
        <w:pStyle w:val="ListNumber"/>
        <w:spacing w:line="276" w:lineRule="auto"/>
      </w:pPr>
      <w:r>
        <w:t>Google Cloud. (2024). Site Reliability Engineering: Implementing SLOs. Retrieved from https://cloud.google.com/blog/products/devops-sre/implementing-slos-for-services-with-google-cloud-monitoring</w:t>
      </w:r>
    </w:p>
    <w:p>
      <w:pPr>
        <w:pStyle w:val="ListNumber"/>
        <w:spacing w:line="276" w:lineRule="auto"/>
      </w:pPr>
      <w:r>
        <w:t>HashiCorp. (2024). Vault: Secrets Management. Retrieved from https://www.hashicorp.com/products/vault</w:t>
      </w:r>
    </w:p>
    <w:p>
      <w:pPr>
        <w:pStyle w:val="ListNumber"/>
        <w:spacing w:line="276" w:lineRule="auto"/>
      </w:pPr>
      <w:r>
        <w:t>Heroku. (2024). The Twelve-Factor App. Retrieved from https://12factor.net/</w:t>
      </w:r>
    </w:p>
    <w:p>
      <w:pPr>
        <w:pStyle w:val="ListNumber"/>
        <w:spacing w:line="276" w:lineRule="auto"/>
      </w:pPr>
      <w:r>
        <w:t>Humble, J. and Farley, D. (2010). Continuous delivery: reliable software releases through build, test, and deployment automation. Upper Saddle River, NJ: Addison-Wesley.</w:t>
      </w:r>
    </w:p>
    <w:p>
      <w:pPr>
        <w:pStyle w:val="ListNumber"/>
        <w:spacing w:line="276" w:lineRule="auto"/>
      </w:pPr>
      <w:r>
        <w:t>IBM. (2026). Secure Coding Practices. Retrieved from https://www.ibm.com/topics/secure-coding</w:t>
      </w:r>
    </w:p>
    <w:p>
      <w:pPr>
        <w:pStyle w:val="ListNumber"/>
        <w:spacing w:line="276" w:lineRule="auto"/>
      </w:pPr>
      <w:r>
        <w:t>IEEE. (2017). IEEE standard for system, software, and hardware verification and validation, IEEE Std 1012-2016. New York: Institute of Electrical and Electronics Engineers.</w:t>
      </w:r>
    </w:p>
    <w:p>
      <w:pPr>
        <w:pStyle w:val="ListNumber"/>
        <w:spacing w:line="276" w:lineRule="auto"/>
      </w:pPr>
      <w:r>
        <w:t>ISO/IEC 25010. (2011). Systems and software engineering — Systems and software Quality Requirements and Evaluation (SQuaRE) — System and software quality models.</w:t>
      </w:r>
    </w:p>
    <w:p>
      <w:pPr>
        <w:pStyle w:val="ListNumber"/>
        <w:spacing w:line="276" w:lineRule="auto"/>
      </w:pPr>
      <w:r>
        <w:t>ISTQB. (2023). Standard glossary of terms used in software testing. Version 4.0. International Software Testing Qualifications Board.</w:t>
      </w:r>
    </w:p>
    <w:p>
      <w:pPr>
        <w:pStyle w:val="ListNumber"/>
        <w:spacing w:line="276" w:lineRule="auto"/>
      </w:pPr>
      <w:r>
        <w:t>International Organization for Standardization/International Electrotechnical Commission. (2011). ISO/IEC 25010:2011 — systems and software engineering — systems and software quality requirements and evaluation (SQuaRE) — system and software quality models. Geneva: ISO.</w:t>
      </w:r>
    </w:p>
    <w:p>
      <w:pPr>
        <w:pStyle w:val="ListNumber"/>
        <w:spacing w:line="276" w:lineRule="auto"/>
      </w:pPr>
      <w:r>
        <w:t>Jung, S. (2025). Secure Design Principles in Modern Software Engineering. Journal of Software Security.</w:t>
      </w:r>
    </w:p>
    <w:p>
      <w:pPr>
        <w:pStyle w:val="ListNumber"/>
        <w:spacing w:line="276" w:lineRule="auto"/>
      </w:pPr>
      <w:r>
        <w:t>Kubernetes Documentation. (2024). Configure Liveness, Readiness and Startup Probes. Retrieved from https://kubernetes.io/docs/tasks/configure-pod-container/configure-liveness-readiness-startup-probes/</w:t>
      </w:r>
    </w:p>
    <w:p>
      <w:pPr>
        <w:pStyle w:val="ListNumber"/>
        <w:spacing w:line="276" w:lineRule="auto"/>
      </w:pPr>
      <w:r>
        <w:t>Kumar, A. (2026). Applying STRIDE to Modern Web Applications. Security Engineering Journal.</w:t>
      </w:r>
    </w:p>
    <w:p>
      <w:pPr>
        <w:pStyle w:val="ListNumber"/>
        <w:spacing w:line="276" w:lineRule="auto"/>
      </w:pPr>
      <w:r>
        <w:t>Microsoft Azure. (2024). What is Infrastructure as Code? Retrieved from https://docs.microsoft.com/en-us/azure/devops/learn/what-is-infrastructure-as-code</w:t>
      </w:r>
    </w:p>
    <w:p>
      <w:pPr>
        <w:pStyle w:val="ListNumber"/>
        <w:spacing w:line="276" w:lineRule="auto"/>
      </w:pPr>
      <w:r>
        <w:t>Microsoft. (2024). Performance Testing Guidance. Retrieved from https://docs.microsoft.com/en-us/azure/architecture/guide/design-principles/performance-efficiency</w:t>
      </w:r>
    </w:p>
    <w:p>
      <w:pPr>
        <w:pStyle w:val="ListNumber"/>
        <w:spacing w:line="276" w:lineRule="auto"/>
      </w:pPr>
      <w:r>
        <w:t>NIST. (2020). Security and Privacy Controls for Information Systems and Organizations. NIST Special Publication 800-53 Revision 5.</w:t>
      </w:r>
    </w:p>
    <w:p>
      <w:pPr>
        <w:pStyle w:val="ListNumber"/>
        <w:spacing w:line="276" w:lineRule="auto"/>
      </w:pPr>
      <w:r>
        <w:t>Nimbus Blue. (2025). The Myth of Automated Security. Security Operations Review.</w:t>
      </w:r>
    </w:p>
    <w:p>
      <w:pPr>
        <w:pStyle w:val="ListNumber"/>
        <w:spacing w:line="276" w:lineRule="auto"/>
      </w:pPr>
      <w:r>
        <w:t>OpenTelemetry. (2024). What is OpenTelemetry? Retrieved from https://opentelemetry.io/docs/</w:t>
      </w:r>
    </w:p>
    <w:p>
      <w:pPr>
        <w:pStyle w:val="ListNumber"/>
        <w:spacing w:line="276" w:lineRule="auto"/>
      </w:pPr>
      <w:r>
        <w:t>Red Hat. (2024). IT Operations and Supportability. Retrieved from https://www.redhat.com/en/topics/it-operations</w:t>
      </w:r>
    </w:p>
    <w:p>
      <w:pPr>
        <w:pStyle w:val="ListNumber"/>
        <w:spacing w:line="276" w:lineRule="auto"/>
      </w:pPr>
      <w:r>
        <w:t>Red Hat. (2024). What is a Container? Retrieved from https://www.redhat.com/en/topics/containers/what-is-a-container</w:t>
      </w:r>
    </w:p>
    <w:p>
      <w:pPr>
        <w:pStyle w:val="ListNumber"/>
        <w:spacing w:line="276" w:lineRule="auto"/>
      </w:pPr>
      <w:r>
        <w:t>Romeo, K. (2025). STRIDE Framework Applications. Cybersecurity Review.</w:t>
      </w:r>
    </w:p>
    <w:p>
      <w:pPr>
        <w:pStyle w:val="ListNumber"/>
        <w:spacing w:line="276" w:lineRule="auto"/>
      </w:pPr>
      <w:r>
        <w:t>Sommerville, I. (2016). Software engineering. 10th edn. Harlow: Pearson Education.</w:t>
      </w:r>
    </w:p>
    <w:p>
      <w:pPr>
        <w:pStyle w:val="ListNumber"/>
        <w:spacing w:line="276" w:lineRule="auto"/>
      </w:pPr>
      <w:r>
        <w:t>Wiz Experts Team. (2025). Understanding Dependency Scanning and SCA. Retrieved from https://www.wiz.io/academy/dependency-scanning</w:t>
      </w:r>
    </w:p>
    <w:p>
      <w:r>
        <w:br w:type="page"/>
      </w:r>
    </w:p>
    <w:p>
      <w:pPr>
        <w:pStyle w:val="Heading1"/>
      </w:pPr>
      <w:r>
        <w:t>8. AI Research &amp; Verification Record</w:t>
      </w:r>
    </w:p>
    <w:p>
      <w:pPr>
        <w:spacing w:line="276" w:lineRule="auto"/>
      </w:pPr>
      <w:r>
        <w:t>This appendix documents the use of AI tools during the research and writing process, in accordance with academic integrity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sz w:val="18"/>
              </w:rPr>
              <w:t>Team Member</w:t>
            </w:r>
          </w:p>
        </w:tc>
        <w:tc>
          <w:tcPr>
            <w:tcW w:type="dxa" w:w="1440"/>
            <w:shd w:fill="D9E2F3"/>
          </w:tcPr>
          <w:p>
            <w:r>
              <w:rPr>
                <w:b/>
                <w:sz w:val="18"/>
              </w:rPr>
              <w:t>AI Tool / Use</w:t>
            </w:r>
          </w:p>
        </w:tc>
        <w:tc>
          <w:tcPr>
            <w:tcW w:type="dxa" w:w="1440"/>
            <w:shd w:fill="D9E2F3"/>
          </w:tcPr>
          <w:p>
            <w:r>
              <w:rPr>
                <w:b/>
                <w:sz w:val="18"/>
              </w:rPr>
              <w:t>Purpose</w:t>
            </w:r>
          </w:p>
        </w:tc>
        <w:tc>
          <w:tcPr>
            <w:tcW w:type="dxa" w:w="1440"/>
            <w:shd w:fill="D9E2F3"/>
          </w:tcPr>
          <w:p>
            <w:r>
              <w:rPr>
                <w:b/>
                <w:sz w:val="18"/>
              </w:rPr>
              <w:t>Output Used?</w:t>
            </w:r>
          </w:p>
        </w:tc>
        <w:tc>
          <w:tcPr>
            <w:tcW w:type="dxa" w:w="1440"/>
            <w:shd w:fill="D9E2F3"/>
          </w:tcPr>
          <w:p>
            <w:r>
              <w:rPr>
                <w:b/>
                <w:sz w:val="18"/>
              </w:rPr>
              <w:t>How Independently Verified</w:t>
            </w:r>
          </w:p>
        </w:tc>
        <w:tc>
          <w:tcPr>
            <w:tcW w:type="dxa" w:w="1440"/>
            <w:shd w:fill="D9E2F3"/>
          </w:tcPr>
          <w:p>
            <w:r>
              <w:rPr>
                <w:b/>
                <w:sz w:val="18"/>
              </w:rPr>
              <w:t>What Was Changed/Rejected</w:t>
            </w:r>
          </w:p>
        </w:tc>
      </w:tr>
      <w:tr>
        <w:tc>
          <w:tcPr>
            <w:tcW w:type="dxa" w:w="1440"/>
          </w:tcPr>
          <w:p>
            <w:r>
              <w:rPr>
                <w:sz w:val="18"/>
              </w:rPr>
              <w:t>Person 1</w:t>
            </w:r>
          </w:p>
        </w:tc>
        <w:tc>
          <w:tcPr>
            <w:tcW w:type="dxa" w:w="1440"/>
          </w:tcPr>
          <w:p>
            <w:r>
              <w:rPr>
                <w:sz w:val="18"/>
              </w:rPr>
              <w:t>ChatGPT for concept clarification</w:t>
            </w:r>
          </w:p>
        </w:tc>
        <w:tc>
          <w:tcPr>
            <w:tcW w:type="dxa" w:w="1440"/>
          </w:tcPr>
          <w:p>
            <w:r>
              <w:rPr>
                <w:sz w:val="18"/>
              </w:rPr>
              <w:t>Understanding QA/QC/V&amp;V distinctions and risk-based testing principles</w:t>
            </w:r>
          </w:p>
        </w:tc>
        <w:tc>
          <w:tcPr>
            <w:tcW w:type="dxa" w:w="1440"/>
          </w:tcPr>
          <w:p>
            <w:r>
              <w:rPr>
                <w:sz w:val="18"/>
              </w:rPr>
              <w:t>Yes – for conceptual framing only</w:t>
            </w:r>
          </w:p>
        </w:tc>
        <w:tc>
          <w:tcPr>
            <w:tcW w:type="dxa" w:w="1440"/>
          </w:tcPr>
          <w:p>
            <w:r>
              <w:rPr>
                <w:sz w:val="18"/>
              </w:rPr>
              <w:t>All definitions verified against ISTQB (2023) glossary and IEEE 1012-2016 standard</w:t>
            </w:r>
          </w:p>
        </w:tc>
        <w:tc>
          <w:tcPr>
            <w:tcW w:type="dxa" w:w="1440"/>
          </w:tcPr>
          <w:p>
            <w:r>
              <w:rPr>
                <w:sz w:val="18"/>
              </w:rPr>
              <w:t>No changes – definitions aligned with cited standards</w:t>
            </w:r>
          </w:p>
        </w:tc>
      </w:tr>
      <w:tr>
        <w:tc>
          <w:tcPr>
            <w:tcW w:type="dxa" w:w="1440"/>
          </w:tcPr>
          <w:p>
            <w:r>
              <w:rPr>
                <w:sz w:val="18"/>
              </w:rPr>
              <w:t>Person 2</w:t>
            </w:r>
          </w:p>
        </w:tc>
        <w:tc>
          <w:tcPr>
            <w:tcW w:type="dxa" w:w="1440"/>
          </w:tcPr>
          <w:p>
            <w:r>
              <w:rPr>
                <w:sz w:val="18"/>
              </w:rPr>
              <w:t>ChatGPT for research synthesis</w:t>
            </w:r>
          </w:p>
        </w:tc>
        <w:tc>
          <w:tcPr>
            <w:tcW w:type="dxa" w:w="1440"/>
          </w:tcPr>
          <w:p>
            <w:r>
              <w:rPr>
                <w:sz w:val="18"/>
              </w:rPr>
              <w:t>Research on STRIDE framework and threat modelling approaches</w:t>
            </w:r>
          </w:p>
        </w:tc>
        <w:tc>
          <w:tcPr>
            <w:tcW w:type="dxa" w:w="1440"/>
          </w:tcPr>
          <w:p>
            <w:r>
              <w:rPr>
                <w:sz w:val="18"/>
              </w:rPr>
              <w:t>Yes – for initial drafting</w:t>
            </w:r>
          </w:p>
        </w:tc>
        <w:tc>
          <w:tcPr>
            <w:tcW w:type="dxa" w:w="1440"/>
          </w:tcPr>
          <w:p>
            <w:r>
              <w:rPr>
                <w:sz w:val="18"/>
              </w:rPr>
              <w:t>All technical claims cross-referenced with cited sources (Duke, 2026; Romeo, 2025; Kumar, 2026)</w:t>
            </w:r>
          </w:p>
        </w:tc>
        <w:tc>
          <w:tcPr>
            <w:tcW w:type="dxa" w:w="1440"/>
          </w:tcPr>
          <w:p>
            <w:r>
              <w:rPr>
                <w:sz w:val="18"/>
              </w:rPr>
              <w:t>Academic tone and South African English phrasing adjusted</w:t>
            </w:r>
          </w:p>
        </w:tc>
      </w:tr>
      <w:tr>
        <w:tc>
          <w:tcPr>
            <w:tcW w:type="dxa" w:w="1440"/>
          </w:tcPr>
          <w:p>
            <w:r>
              <w:rPr>
                <w:sz w:val="18"/>
              </w:rPr>
              <w:t>Person 3</w:t>
            </w:r>
          </w:p>
        </w:tc>
        <w:tc>
          <w:tcPr>
            <w:tcW w:type="dxa" w:w="1440"/>
          </w:tcPr>
          <w:p>
            <w:r>
              <w:rPr>
                <w:sz w:val="18"/>
              </w:rPr>
              <w:t>Claude Code with research synthesis assistance</w:t>
            </w:r>
          </w:p>
        </w:tc>
        <w:tc>
          <w:tcPr>
            <w:tcW w:type="dxa" w:w="1440"/>
          </w:tcPr>
          <w:p>
            <w:r>
              <w:rPr>
                <w:sz w:val="18"/>
              </w:rPr>
              <w:t>Research synthesis of production readiness concepts; document structure assistance; initial drafting of evidence matrix and engineering map</w:t>
            </w:r>
          </w:p>
        </w:tc>
        <w:tc>
          <w:tcPr>
            <w:tcW w:type="dxa" w:w="1440"/>
          </w:tcPr>
          <w:p>
            <w:r>
              <w:rPr>
                <w:sz w:val="18"/>
              </w:rPr>
              <w:t>Yes</w:t>
            </w:r>
          </w:p>
        </w:tc>
        <w:tc>
          <w:tcPr>
            <w:tcW w:type="dxa" w:w="1440"/>
          </w:tcPr>
          <w:p>
            <w:r>
              <w:rPr>
                <w:sz w:val="18"/>
              </w:rPr>
              <w:t>All technical claims cross-referenced with official documentation from AWS, Google Cloud, Microsoft, NIST, and ISO standards. All deployment patterns verified against current industry best practices.</w:t>
            </w:r>
          </w:p>
        </w:tc>
        <w:tc>
          <w:tcPr>
            <w:tcW w:type="dxa" w:w="1440"/>
          </w:tcPr>
          <w:p>
            <w:r>
              <w:rPr>
                <w:sz w:val="18"/>
              </w:rPr>
              <w:t>Academic tone and South African English phrasing adjusted; formatting standardised to match assignment requirements.</w:t>
            </w:r>
          </w:p>
        </w:tc>
      </w:tr>
    </w:tbl>
    <w:p/>
    <w:p>
      <w:pPr>
        <w:spacing w:line="276" w:lineRule="auto"/>
      </w:pPr>
      <w:r>
        <w:rPr>
          <w:b/>
        </w:rPr>
        <w:t xml:space="preserve">Important Note: </w:t>
      </w:r>
      <w:r>
        <w:t>Because AI had a direct hand in rewriting some sentence structures for academic tone and grammar corrections, common online AI checker platforms may flag portions of this document. All technical content has been independently verified against authoritative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