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852140" w14:textId="015C8A3C" w:rsidR="7D13926C" w:rsidRDefault="7D13926C" w:rsidP="7D13926C">
      <w:pPr>
        <w:jc w:val="center"/>
        <w:rPr>
          <w:rFonts w:ascii="Calibri" w:eastAsia="Calibri" w:hAnsi="Calibri" w:cs="Calibri"/>
          <w:color w:val="365F91" w:themeColor="accent1" w:themeShade="BF"/>
          <w:sz w:val="56"/>
          <w:szCs w:val="56"/>
        </w:rPr>
      </w:pPr>
    </w:p>
    <w:p w14:paraId="59F2372B" w14:textId="49F9E96C" w:rsidR="42A57F09" w:rsidRDefault="42A57F09" w:rsidP="7D13926C">
      <w:pPr>
        <w:jc w:val="center"/>
        <w:rPr>
          <w:rFonts w:ascii="Calibri" w:eastAsia="Calibri" w:hAnsi="Calibri" w:cs="Calibri"/>
          <w:color w:val="365F91" w:themeColor="accent1" w:themeShade="BF"/>
          <w:sz w:val="56"/>
          <w:szCs w:val="56"/>
        </w:rPr>
      </w:pPr>
      <w:r w:rsidRPr="7D13926C">
        <w:rPr>
          <w:rFonts w:ascii="Calibri" w:eastAsia="Calibri" w:hAnsi="Calibri" w:cs="Calibri"/>
          <w:b/>
          <w:bCs/>
          <w:color w:val="365F91" w:themeColor="accent1" w:themeShade="BF"/>
          <w:sz w:val="56"/>
          <w:szCs w:val="56"/>
          <w:highlight w:val="lightGray"/>
        </w:rPr>
        <w:t>COMPANY NAME</w:t>
      </w:r>
      <w:r w:rsidRPr="7D13926C">
        <w:rPr>
          <w:rFonts w:ascii="Calibri" w:eastAsia="Calibri" w:hAnsi="Calibri" w:cs="Calibri"/>
          <w:b/>
          <w:bCs/>
          <w:color w:val="365F91" w:themeColor="accent1" w:themeShade="BF"/>
          <w:sz w:val="56"/>
          <w:szCs w:val="56"/>
        </w:rPr>
        <w:t xml:space="preserve"> </w:t>
      </w:r>
      <w:r>
        <w:br/>
      </w:r>
    </w:p>
    <w:p w14:paraId="721E41FA" w14:textId="2327B4B4" w:rsidR="42A57F09" w:rsidRDefault="42A57F09" w:rsidP="7D13926C">
      <w:pPr>
        <w:jc w:val="center"/>
        <w:rPr>
          <w:rFonts w:ascii="Calibri" w:eastAsia="Calibri" w:hAnsi="Calibri" w:cs="Calibri"/>
          <w:color w:val="365F91" w:themeColor="accent1" w:themeShade="BF"/>
          <w:sz w:val="28"/>
          <w:szCs w:val="28"/>
        </w:rPr>
      </w:pPr>
      <w:r w:rsidRPr="7D13926C">
        <w:rPr>
          <w:rFonts w:ascii="Calibri" w:eastAsia="Calibri" w:hAnsi="Calibri" w:cs="Calibri"/>
          <w:b/>
          <w:bCs/>
          <w:color w:val="365F91" w:themeColor="accent1" w:themeShade="BF"/>
          <w:sz w:val="28"/>
          <w:szCs w:val="28"/>
        </w:rPr>
        <w:t xml:space="preserve"> </w:t>
      </w:r>
      <w:r>
        <w:br/>
      </w:r>
      <w:r w:rsidRPr="7D13926C">
        <w:rPr>
          <w:rFonts w:ascii="Calibri" w:eastAsia="Calibri" w:hAnsi="Calibri" w:cs="Calibri"/>
          <w:b/>
          <w:bCs/>
          <w:color w:val="365F91" w:themeColor="accent1" w:themeShade="BF"/>
          <w:sz w:val="40"/>
          <w:szCs w:val="40"/>
          <w:u w:val="single"/>
        </w:rPr>
        <w:t>SOP 06 – Payroll &amp; Independent Contractors</w:t>
      </w:r>
      <w:r>
        <w:br/>
      </w:r>
      <w:r w:rsidRPr="7D13926C">
        <w:rPr>
          <w:rFonts w:ascii="Calibri" w:eastAsia="Calibri" w:hAnsi="Calibri" w:cs="Calibri"/>
          <w:b/>
          <w:bCs/>
          <w:color w:val="365F91" w:themeColor="accent1" w:themeShade="BF"/>
          <w:sz w:val="28"/>
          <w:szCs w:val="28"/>
        </w:rPr>
        <w:t xml:space="preserve">STANDARD OPERATING PROCEDURE (SOP) </w:t>
      </w:r>
      <w:r>
        <w:br/>
      </w:r>
      <w:r w:rsidRPr="7D13926C">
        <w:rPr>
          <w:rFonts w:ascii="Calibri" w:eastAsia="Calibri" w:hAnsi="Calibri" w:cs="Calibri"/>
          <w:b/>
          <w:bCs/>
          <w:color w:val="365F91" w:themeColor="accent1" w:themeShade="BF"/>
          <w:sz w:val="28"/>
          <w:szCs w:val="28"/>
        </w:rPr>
        <w:t xml:space="preserve"> </w:t>
      </w:r>
    </w:p>
    <w:p w14:paraId="4D4F2288" w14:textId="019B1346" w:rsidR="42A57F09" w:rsidRDefault="42A57F09" w:rsidP="7D13926C">
      <w:pPr>
        <w:jc w:val="center"/>
        <w:rPr>
          <w:rFonts w:ascii="Calibri" w:eastAsia="Calibri" w:hAnsi="Calibri" w:cs="Calibri"/>
          <w:color w:val="365F91" w:themeColor="accent1" w:themeShade="BF"/>
          <w:sz w:val="28"/>
          <w:szCs w:val="28"/>
        </w:rPr>
      </w:pPr>
      <w:r w:rsidRPr="7D13926C">
        <w:rPr>
          <w:rFonts w:ascii="Calibri" w:eastAsia="Calibri" w:hAnsi="Calibri" w:cs="Calibri"/>
          <w:b/>
          <w:bCs/>
          <w:color w:val="365F91" w:themeColor="accent1" w:themeShade="BF"/>
          <w:sz w:val="28"/>
          <w:szCs w:val="28"/>
        </w:rPr>
        <w:t xml:space="preserve"> </w:t>
      </w:r>
      <w:r>
        <w:br/>
      </w:r>
      <w:r w:rsidRPr="7D13926C">
        <w:rPr>
          <w:rFonts w:ascii="Calibri" w:eastAsia="Calibri" w:hAnsi="Calibri" w:cs="Calibri"/>
          <w:b/>
          <w:bCs/>
          <w:color w:val="365F91" w:themeColor="accent1" w:themeShade="BF"/>
          <w:sz w:val="28"/>
          <w:szCs w:val="28"/>
          <w:highlight w:val="lightGray"/>
        </w:rPr>
        <w:t>[Insert Company Logo Here]</w:t>
      </w:r>
      <w:r w:rsidRPr="7D13926C">
        <w:rPr>
          <w:rFonts w:ascii="Calibri" w:eastAsia="Calibri" w:hAnsi="Calibri" w:cs="Calibri"/>
          <w:b/>
          <w:bCs/>
          <w:color w:val="365F91" w:themeColor="accent1" w:themeShade="BF"/>
          <w:sz w:val="28"/>
          <w:szCs w:val="28"/>
        </w:rPr>
        <w:t xml:space="preserve"> </w:t>
      </w:r>
      <w:r>
        <w:br/>
      </w:r>
      <w:r w:rsidRPr="7D13926C">
        <w:rPr>
          <w:rFonts w:ascii="Calibri" w:eastAsia="Calibri" w:hAnsi="Calibri" w:cs="Calibri"/>
          <w:b/>
          <w:bCs/>
          <w:color w:val="365F91" w:themeColor="accent1" w:themeShade="BF"/>
          <w:sz w:val="28"/>
          <w:szCs w:val="28"/>
        </w:rPr>
        <w:t xml:space="preserve"> </w:t>
      </w:r>
    </w:p>
    <w:p w14:paraId="3836B48A" w14:textId="7B4E9A48" w:rsidR="7D13926C" w:rsidRDefault="7D13926C" w:rsidP="7D13926C">
      <w:pPr>
        <w:jc w:val="center"/>
        <w:rPr>
          <w:rFonts w:ascii="Calibri" w:eastAsia="Calibri" w:hAnsi="Calibri" w:cs="Calibri"/>
          <w:color w:val="365F91" w:themeColor="accent1" w:themeShade="BF"/>
          <w:sz w:val="28"/>
          <w:szCs w:val="28"/>
        </w:rPr>
      </w:pPr>
    </w:p>
    <w:p w14:paraId="2BEA11C7" w14:textId="68D35DB0" w:rsidR="7D13926C" w:rsidRDefault="7D13926C" w:rsidP="7D13926C">
      <w:pPr>
        <w:jc w:val="center"/>
        <w:rPr>
          <w:rFonts w:ascii="Calibri" w:eastAsia="Calibri" w:hAnsi="Calibri" w:cs="Calibri"/>
          <w:color w:val="365F91" w:themeColor="accent1" w:themeShade="BF"/>
          <w:sz w:val="28"/>
          <w:szCs w:val="28"/>
        </w:rPr>
      </w:pPr>
    </w:p>
    <w:p w14:paraId="699E71B2" w14:textId="6329FDDB" w:rsidR="7D13926C" w:rsidRDefault="7D13926C" w:rsidP="7D13926C">
      <w:pPr>
        <w:jc w:val="center"/>
        <w:rPr>
          <w:rFonts w:ascii="Calibri" w:eastAsia="Calibri" w:hAnsi="Calibri" w:cs="Calibri"/>
          <w:color w:val="365F91" w:themeColor="accent1" w:themeShade="BF"/>
          <w:sz w:val="28"/>
          <w:szCs w:val="28"/>
        </w:rPr>
      </w:pPr>
    </w:p>
    <w:p w14:paraId="79F713EC" w14:textId="3D34A5F3" w:rsidR="7D13926C" w:rsidRDefault="7D13926C" w:rsidP="7D13926C">
      <w:pPr>
        <w:jc w:val="center"/>
        <w:rPr>
          <w:rFonts w:ascii="Calibri" w:eastAsia="Calibri" w:hAnsi="Calibri" w:cs="Calibri"/>
          <w:color w:val="365F91" w:themeColor="accent1" w:themeShade="BF"/>
          <w:sz w:val="28"/>
          <w:szCs w:val="28"/>
        </w:rPr>
      </w:pPr>
    </w:p>
    <w:p w14:paraId="009AE8CD" w14:textId="69369483" w:rsidR="7D13926C" w:rsidRDefault="7D13926C" w:rsidP="7D13926C">
      <w:pPr>
        <w:jc w:val="center"/>
        <w:rPr>
          <w:rFonts w:ascii="Calibri" w:eastAsia="Calibri" w:hAnsi="Calibri" w:cs="Calibri"/>
          <w:color w:val="365F91" w:themeColor="accent1" w:themeShade="BF"/>
          <w:sz w:val="28"/>
          <w:szCs w:val="28"/>
        </w:rPr>
      </w:pPr>
    </w:p>
    <w:p w14:paraId="0402C243" w14:textId="623F010D" w:rsidR="7D13926C" w:rsidRDefault="7D13926C" w:rsidP="7D13926C">
      <w:pPr>
        <w:jc w:val="center"/>
        <w:rPr>
          <w:rFonts w:ascii="Calibri" w:eastAsia="Calibri" w:hAnsi="Calibri" w:cs="Calibri"/>
          <w:color w:val="365F91" w:themeColor="accent1" w:themeShade="BF"/>
          <w:sz w:val="28"/>
          <w:szCs w:val="28"/>
        </w:rPr>
      </w:pPr>
    </w:p>
    <w:p w14:paraId="4E86694B" w14:textId="5D24189B" w:rsidR="7D13926C" w:rsidRDefault="7D13926C" w:rsidP="7D13926C">
      <w:pPr>
        <w:jc w:val="center"/>
        <w:rPr>
          <w:rFonts w:ascii="Calibri" w:eastAsia="Calibri" w:hAnsi="Calibri" w:cs="Calibri"/>
          <w:color w:val="365F91" w:themeColor="accent1" w:themeShade="BF"/>
          <w:sz w:val="28"/>
          <w:szCs w:val="28"/>
        </w:rPr>
      </w:pPr>
    </w:p>
    <w:p w14:paraId="71BFF2EB" w14:textId="6BEC4EF7" w:rsidR="7D13926C" w:rsidRDefault="7D13926C" w:rsidP="7D13926C">
      <w:pPr>
        <w:jc w:val="center"/>
        <w:rPr>
          <w:rFonts w:ascii="Calibri" w:eastAsia="Calibri" w:hAnsi="Calibri" w:cs="Calibri"/>
          <w:color w:val="365F91" w:themeColor="accent1" w:themeShade="BF"/>
          <w:sz w:val="28"/>
          <w:szCs w:val="28"/>
        </w:rPr>
      </w:pPr>
    </w:p>
    <w:p w14:paraId="3A8D8B75" w14:textId="68CBF4BE" w:rsidR="42A57F09" w:rsidRDefault="42A57F09" w:rsidP="7D13926C">
      <w:pPr>
        <w:jc w:val="center"/>
        <w:rPr>
          <w:rFonts w:ascii="Calibri" w:eastAsia="Calibri" w:hAnsi="Calibri" w:cs="Calibri"/>
          <w:color w:val="365F91" w:themeColor="accent1" w:themeShade="BF"/>
          <w:sz w:val="28"/>
          <w:szCs w:val="28"/>
        </w:rPr>
      </w:pPr>
      <w:r w:rsidRPr="7D13926C">
        <w:rPr>
          <w:rFonts w:ascii="Calibri" w:eastAsia="Calibri" w:hAnsi="Calibri" w:cs="Calibri"/>
          <w:b/>
          <w:bCs/>
          <w:color w:val="365F91" w:themeColor="accent1" w:themeShade="BF"/>
          <w:sz w:val="28"/>
          <w:szCs w:val="28"/>
        </w:rPr>
        <w:t xml:space="preserve">  </w:t>
      </w:r>
    </w:p>
    <w:p w14:paraId="01B5945A" w14:textId="4BCDC2A8" w:rsidR="42A57F09" w:rsidRDefault="42A57F09" w:rsidP="7D13926C">
      <w:pPr>
        <w:jc w:val="center"/>
        <w:rPr>
          <w:rFonts w:ascii="Calibri" w:eastAsia="Calibri" w:hAnsi="Calibri" w:cs="Calibri"/>
          <w:color w:val="365F91" w:themeColor="accent1" w:themeShade="BF"/>
          <w:sz w:val="28"/>
          <w:szCs w:val="28"/>
        </w:rPr>
      </w:pPr>
      <w:r>
        <w:br/>
      </w:r>
      <w:r w:rsidRPr="7D13926C">
        <w:rPr>
          <w:rFonts w:ascii="Calibri" w:eastAsia="Calibri" w:hAnsi="Calibri" w:cs="Calibri"/>
          <w:b/>
          <w:bCs/>
          <w:color w:val="365F91" w:themeColor="accent1" w:themeShade="BF"/>
          <w:sz w:val="28"/>
          <w:szCs w:val="28"/>
        </w:rPr>
        <w:t xml:space="preserve">Version: 1.0 </w:t>
      </w:r>
      <w:r>
        <w:br/>
      </w:r>
      <w:r w:rsidR="00582C63">
        <w:rPr>
          <w:rFonts w:ascii="Calibri" w:eastAsia="Calibri" w:hAnsi="Calibri" w:cs="Calibri"/>
          <w:b/>
          <w:bCs/>
          <w:color w:val="365F91" w:themeColor="accent1" w:themeShade="BF"/>
          <w:sz w:val="28"/>
          <w:szCs w:val="28"/>
        </w:rPr>
        <w:t>Effective Date: 04</w:t>
      </w:r>
      <w:bookmarkStart w:id="0" w:name="_GoBack"/>
      <w:bookmarkEnd w:id="0"/>
      <w:r w:rsidRPr="7D13926C">
        <w:rPr>
          <w:rFonts w:ascii="Calibri" w:eastAsia="Calibri" w:hAnsi="Calibri" w:cs="Calibri"/>
          <w:b/>
          <w:bCs/>
          <w:color w:val="365F91" w:themeColor="accent1" w:themeShade="BF"/>
          <w:sz w:val="28"/>
          <w:szCs w:val="28"/>
        </w:rPr>
        <w:t xml:space="preserve"> February 2026 </w:t>
      </w:r>
      <w:r>
        <w:br/>
      </w:r>
      <w:r w:rsidRPr="7D13926C">
        <w:rPr>
          <w:rFonts w:ascii="Calibri" w:eastAsia="Calibri" w:hAnsi="Calibri" w:cs="Calibri"/>
          <w:b/>
          <w:bCs/>
          <w:color w:val="365F91" w:themeColor="accent1" w:themeShade="BF"/>
          <w:sz w:val="28"/>
          <w:szCs w:val="28"/>
        </w:rPr>
        <w:t>Document Owner: Armand Slabbert</w:t>
      </w:r>
    </w:p>
    <w:p w14:paraId="4B31A300" w14:textId="77777777" w:rsidR="006427CE" w:rsidRDefault="006427CE" w:rsidP="006427CE">
      <w:pPr>
        <w:pStyle w:val="Title"/>
        <w:pBdr>
          <w:bottom w:val="single" w:sz="8" w:space="4" w:color="4F81BD"/>
        </w:pBdr>
        <w:rPr>
          <w:rFonts w:ascii="Calibri" w:eastAsia="Calibri" w:hAnsi="Calibri" w:cs="Calibri"/>
          <w:color w:val="17365D"/>
        </w:rPr>
      </w:pPr>
      <w:r w:rsidRPr="49FB4CCF">
        <w:rPr>
          <w:rFonts w:ascii="Calibri" w:eastAsia="Calibri" w:hAnsi="Calibri" w:cs="Calibri"/>
          <w:color w:val="17365D"/>
        </w:rPr>
        <w:lastRenderedPageBreak/>
        <w:t>STANDARD OPERATING PROCEDURE (SOP)</w:t>
      </w:r>
    </w:p>
    <w:p w14:paraId="43440C2F" w14:textId="68DCE68F" w:rsidR="00D65DD1" w:rsidRDefault="7D13926C">
      <w:pPr>
        <w:pStyle w:val="Heading1"/>
      </w:pPr>
      <w:r>
        <w:t>Payroll &amp; Independent Contractors</w:t>
      </w:r>
    </w:p>
    <w:p w14:paraId="47DA84F3" w14:textId="77777777" w:rsidR="00D65DD1" w:rsidRDefault="001320F4">
      <w:r>
        <w:t>This Standard Operating Procedure (SOP) defines the controls and procedures for payroll processing and the management of independent contractors. The objective is to ensure accurate, compliant, and timely remuneration in line with labour, tax, and statutory requirements.</w:t>
      </w:r>
    </w:p>
    <w:p w14:paraId="2D4ACC3A" w14:textId="77777777" w:rsidR="00D65DD1" w:rsidRDefault="001320F4">
      <w:pPr>
        <w:pStyle w:val="Heading2"/>
      </w:pPr>
      <w:r>
        <w:t>1. Purpose</w:t>
      </w:r>
    </w:p>
    <w:p w14:paraId="0564FEE0" w14:textId="77777777" w:rsidR="00D65DD1" w:rsidRDefault="001320F4">
      <w:r>
        <w:t>The purpose of this SOP is to establish a consistent and controlled approach to payroll and contractor payments, reducing the risk of errors, non-compliance, and misclassification.</w:t>
      </w:r>
    </w:p>
    <w:p w14:paraId="2E3BAD62" w14:textId="77777777" w:rsidR="00D65DD1" w:rsidRDefault="001320F4">
      <w:pPr>
        <w:pStyle w:val="Heading2"/>
      </w:pPr>
      <w:r>
        <w:t>2. Scope</w:t>
      </w:r>
    </w:p>
    <w:p w14:paraId="6D6B4F83" w14:textId="77777777" w:rsidR="00D65DD1" w:rsidRDefault="001320F4">
      <w:r>
        <w:t>This SOP applies to all permanent employees, temporary staff, and independent contractors, covering payroll calculations, statutory deductions, and payments.</w:t>
      </w:r>
    </w:p>
    <w:p w14:paraId="1AF777C8" w14:textId="77777777" w:rsidR="00D65DD1" w:rsidRDefault="001320F4">
      <w:pPr>
        <w:pStyle w:val="Heading2"/>
      </w:pPr>
      <w:r>
        <w:t>3. Standards &amp; References</w:t>
      </w:r>
    </w:p>
    <w:p w14:paraId="7449AD89" w14:textId="77777777" w:rsidR="00D65DD1" w:rsidRDefault="001320F4">
      <w:r>
        <w:t>- Basic Conditions of Employment Act (BCEA)</w:t>
      </w:r>
      <w:r>
        <w:br/>
        <w:t>- Labour Relations Act (LRA)</w:t>
      </w:r>
      <w:r>
        <w:br/>
        <w:t>- Income Tax Act (PAYE)</w:t>
      </w:r>
      <w:r>
        <w:br/>
        <w:t>- UIF Act</w:t>
      </w:r>
      <w:r>
        <w:br/>
        <w:t>- SARS Payroll Guides</w:t>
      </w:r>
      <w:r>
        <w:br/>
        <w:t>- Internal HR &amp; Finance Policies</w:t>
      </w:r>
    </w:p>
    <w:p w14:paraId="6EA85D0D" w14:textId="77777777" w:rsidR="00D65DD1" w:rsidRDefault="001320F4">
      <w:pPr>
        <w:pStyle w:val="Heading2"/>
      </w:pPr>
      <w:r>
        <w:t>4. Roles &amp; Responsibilities</w:t>
      </w:r>
    </w:p>
    <w:p w14:paraId="5D0FFFAA" w14:textId="77777777" w:rsidR="00D65DD1" w:rsidRDefault="001320F4">
      <w:r>
        <w:t>Finance Manager:</w:t>
      </w:r>
      <w:r>
        <w:br/>
        <w:t>- Overall ownership of payroll and contractor controls</w:t>
      </w:r>
      <w:r>
        <w:br/>
        <w:t>- Review and approval of payroll runs</w:t>
      </w:r>
      <w:r>
        <w:br/>
        <w:t>- Oversight of statutory compliance</w:t>
      </w:r>
      <w:r>
        <w:br/>
      </w:r>
      <w:r>
        <w:br/>
        <w:t>HR / Management:</w:t>
      </w:r>
      <w:r>
        <w:br/>
        <w:t>- Maintenance of employee and contractor records</w:t>
      </w:r>
      <w:r>
        <w:br/>
        <w:t>- Approval of remuneration changes</w:t>
      </w:r>
      <w:r>
        <w:br/>
      </w:r>
      <w:r>
        <w:br/>
        <w:t>Finance / Payroll Officer:</w:t>
      </w:r>
      <w:r>
        <w:br/>
        <w:t>- Payroll processing and reconciliations</w:t>
      </w:r>
      <w:r>
        <w:br/>
        <w:t>- Preparation of statutory submissions</w:t>
      </w:r>
    </w:p>
    <w:p w14:paraId="01A9EBAA" w14:textId="77777777" w:rsidR="00D65DD1" w:rsidRDefault="001320F4">
      <w:pPr>
        <w:pStyle w:val="Heading2"/>
      </w:pPr>
      <w:r>
        <w:t>5. Payroll Processing</w:t>
      </w:r>
    </w:p>
    <w:p w14:paraId="63DC4DCD" w14:textId="77777777" w:rsidR="00D65DD1" w:rsidRDefault="001320F4">
      <w:r>
        <w:t>5.1 Employee Setup</w:t>
      </w:r>
      <w:r>
        <w:br/>
        <w:t>- Valid employment contracts must be in place.</w:t>
      </w:r>
      <w:r>
        <w:br/>
        <w:t>- Employee master data must be accurately maintained.</w:t>
      </w:r>
      <w:r>
        <w:br/>
      </w:r>
      <w:r>
        <w:br/>
        <w:t>5.2 Payroll Calculation</w:t>
      </w:r>
      <w:r>
        <w:br/>
        <w:t>- Calculate gross remuneration, deductions, and net pay.</w:t>
      </w:r>
      <w:r>
        <w:br/>
        <w:t>- Apply PAYE, UIF, SDL, and other statutory deductions.</w:t>
      </w:r>
      <w:r>
        <w:br/>
      </w:r>
      <w:r>
        <w:br/>
        <w:t>5.3 Payroll Review</w:t>
      </w:r>
      <w:r>
        <w:br/>
        <w:t>- Review payroll reports for accuracy and reasonableness.</w:t>
      </w:r>
      <w:r>
        <w:br/>
        <w:t>- Resolve discrepancies prior to payment.</w:t>
      </w:r>
    </w:p>
    <w:p w14:paraId="78C7D06A" w14:textId="77777777" w:rsidR="00D65DD1" w:rsidRDefault="001320F4">
      <w:pPr>
        <w:pStyle w:val="Heading2"/>
      </w:pPr>
      <w:r>
        <w:t>6. Independent Contractors</w:t>
      </w:r>
    </w:p>
    <w:p w14:paraId="0325FDE8" w14:textId="3D4B97A6" w:rsidR="00D65DD1" w:rsidRDefault="7D13926C">
      <w:r>
        <w:t>- Confirm contractor agreements and tax status.</w:t>
      </w:r>
      <w:r w:rsidR="001320F4">
        <w:br/>
      </w:r>
      <w:r>
        <w:t xml:space="preserve">- Assess </w:t>
      </w:r>
      <w:r w:rsidR="7F6B33DE">
        <w:t>the risk</w:t>
      </w:r>
      <w:r>
        <w:t xml:space="preserve"> of employee vs contractor misclassification.</w:t>
      </w:r>
      <w:r w:rsidR="001320F4">
        <w:br/>
      </w:r>
      <w:r>
        <w:t>- Process contractor invoices in line with agreements.</w:t>
      </w:r>
      <w:r w:rsidR="001320F4">
        <w:br/>
      </w:r>
      <w:r>
        <w:t>- Apply withholding tax where required.</w:t>
      </w:r>
    </w:p>
    <w:p w14:paraId="40025838" w14:textId="77777777" w:rsidR="00D65DD1" w:rsidRDefault="001320F4">
      <w:pPr>
        <w:pStyle w:val="Heading2"/>
      </w:pPr>
      <w:r>
        <w:t>7. Payroll Payments &amp; Submissions</w:t>
      </w:r>
    </w:p>
    <w:p w14:paraId="2474F004" w14:textId="77777777" w:rsidR="00D65DD1" w:rsidRDefault="001320F4">
      <w:r>
        <w:t>- Process payroll and contractor payments by approved pay dates.</w:t>
      </w:r>
      <w:r>
        <w:br/>
        <w:t>- Submit PAYE, UIF, and SDL returns to SARS by statutory deadlines.</w:t>
      </w:r>
      <w:r>
        <w:br/>
        <w:t>- Arrange payment of statutory liabilities.</w:t>
      </w:r>
    </w:p>
    <w:p w14:paraId="38E76B22" w14:textId="77777777" w:rsidR="00D65DD1" w:rsidRDefault="001320F4">
      <w:pPr>
        <w:pStyle w:val="Heading2"/>
      </w:pPr>
      <w:r>
        <w:t>8. Reconciliations &amp; Controls</w:t>
      </w:r>
    </w:p>
    <w:p w14:paraId="6B6924F9" w14:textId="61487854" w:rsidR="00D65DD1" w:rsidRDefault="7D13926C">
      <w:r>
        <w:t xml:space="preserve">- Reconcile payroll </w:t>
      </w:r>
      <w:r w:rsidR="403C9B8B">
        <w:t>expenses</w:t>
      </w:r>
      <w:r>
        <w:t xml:space="preserve"> to the general ledger monthly.</w:t>
      </w:r>
      <w:r w:rsidR="001320F4">
        <w:br/>
      </w:r>
      <w:r>
        <w:t>- Reconcile PAYE, UIF, and SDL control accounts.</w:t>
      </w:r>
      <w:r w:rsidR="001320F4">
        <w:br/>
      </w:r>
      <w:r>
        <w:t>- Review payroll variances and headcount movements.</w:t>
      </w:r>
    </w:p>
    <w:p w14:paraId="419E0F0D" w14:textId="77777777" w:rsidR="00D65DD1" w:rsidRDefault="001320F4">
      <w:pPr>
        <w:pStyle w:val="Heading2"/>
      </w:pPr>
      <w:r>
        <w:t>9. Documentation &amp; Record Keeping</w:t>
      </w:r>
    </w:p>
    <w:p w14:paraId="447C3EC6" w14:textId="77777777" w:rsidR="00D65DD1" w:rsidRDefault="001320F4">
      <w:r>
        <w:t>Maintain payroll reports, employee records, contractor agreements, and statutory submissions in accordance with record retention requirements.</w:t>
      </w:r>
    </w:p>
    <w:p w14:paraId="62ABEE38" w14:textId="77777777" w:rsidR="00D65DD1" w:rsidRDefault="001320F4">
      <w:pPr>
        <w:pStyle w:val="Heading2"/>
      </w:pPr>
      <w:r>
        <w:t>10. Compliance Monitoring &amp; Audits</w:t>
      </w:r>
    </w:p>
    <w:p w14:paraId="4D6188E3" w14:textId="77777777" w:rsidR="00D65DD1" w:rsidRDefault="001320F4">
      <w:r>
        <w:t>Compliance with this SOP is monitored through internal reviews, external audits, and statutory inspections.</w:t>
      </w:r>
    </w:p>
    <w:p w14:paraId="497E536C" w14:textId="77777777" w:rsidR="00D65DD1" w:rsidRDefault="001320F4">
      <w:pPr>
        <w:pStyle w:val="Heading2"/>
      </w:pPr>
      <w:r>
        <w:t>11. Review &amp; Update</w:t>
      </w:r>
    </w:p>
    <w:p w14:paraId="5754E4DD" w14:textId="77777777" w:rsidR="00D65DD1" w:rsidRDefault="001320F4">
      <w:r>
        <w:t>This SOP must be reviewed annually or upon changes to labour laws, tax legislation, or payroll processes.</w:t>
      </w:r>
    </w:p>
    <w:sectPr w:rsidR="00D65DD1"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09F04F" w14:textId="77777777" w:rsidR="006F1C8E" w:rsidRDefault="006F1C8E">
      <w:pPr>
        <w:spacing w:after="0" w:line="240" w:lineRule="auto"/>
      </w:pPr>
      <w:r>
        <w:separator/>
      </w:r>
    </w:p>
  </w:endnote>
  <w:endnote w:type="continuationSeparator" w:id="0">
    <w:p w14:paraId="4A1330F0" w14:textId="77777777" w:rsidR="006F1C8E" w:rsidRDefault="006F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7D13926C" w14:paraId="6A56CB83" w14:textId="77777777" w:rsidTr="7D13926C">
      <w:trPr>
        <w:trHeight w:val="300"/>
      </w:trPr>
      <w:tc>
        <w:tcPr>
          <w:tcW w:w="3120" w:type="dxa"/>
        </w:tcPr>
        <w:p w14:paraId="00AE7F36" w14:textId="0BAE6A17" w:rsidR="7D13926C" w:rsidRDefault="7D13926C" w:rsidP="7D13926C">
          <w:pPr>
            <w:pStyle w:val="Header"/>
            <w:ind w:left="-115"/>
          </w:pPr>
        </w:p>
      </w:tc>
      <w:tc>
        <w:tcPr>
          <w:tcW w:w="3120" w:type="dxa"/>
        </w:tcPr>
        <w:p w14:paraId="32413DF9" w14:textId="55A62491" w:rsidR="7D13926C" w:rsidRDefault="7D13926C" w:rsidP="7D13926C">
          <w:pPr>
            <w:pStyle w:val="Header"/>
            <w:jc w:val="center"/>
          </w:pPr>
          <w:r>
            <w:fldChar w:fldCharType="begin"/>
          </w:r>
          <w:r>
            <w:instrText>PAGE</w:instrText>
          </w:r>
          <w:r>
            <w:fldChar w:fldCharType="separate"/>
          </w:r>
          <w:r w:rsidR="006F1C8E">
            <w:rPr>
              <w:noProof/>
            </w:rPr>
            <w:t>1</w:t>
          </w:r>
          <w:r>
            <w:fldChar w:fldCharType="end"/>
          </w:r>
        </w:p>
      </w:tc>
      <w:tc>
        <w:tcPr>
          <w:tcW w:w="3120" w:type="dxa"/>
        </w:tcPr>
        <w:p w14:paraId="3876983A" w14:textId="0D75070F" w:rsidR="7D13926C" w:rsidRDefault="7D13926C" w:rsidP="7D13926C">
          <w:pPr>
            <w:pStyle w:val="Header"/>
            <w:ind w:right="-115"/>
            <w:jc w:val="right"/>
          </w:pPr>
        </w:p>
      </w:tc>
    </w:tr>
  </w:tbl>
  <w:p w14:paraId="6D618C35" w14:textId="2B17BC3D" w:rsidR="7D13926C" w:rsidRDefault="7D13926C" w:rsidP="7D13926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713152" w14:textId="77777777" w:rsidR="006F1C8E" w:rsidRDefault="006F1C8E">
      <w:pPr>
        <w:spacing w:after="0" w:line="240" w:lineRule="auto"/>
      </w:pPr>
      <w:r>
        <w:separator/>
      </w:r>
    </w:p>
  </w:footnote>
  <w:footnote w:type="continuationSeparator" w:id="0">
    <w:p w14:paraId="78B9B961" w14:textId="77777777" w:rsidR="006F1C8E" w:rsidRDefault="006F1C8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7D13926C" w14:paraId="3F727107" w14:textId="77777777" w:rsidTr="7D13926C">
      <w:trPr>
        <w:trHeight w:val="300"/>
      </w:trPr>
      <w:tc>
        <w:tcPr>
          <w:tcW w:w="3120" w:type="dxa"/>
        </w:tcPr>
        <w:p w14:paraId="3CD76F7A" w14:textId="1AA4D2D3" w:rsidR="7D13926C" w:rsidRDefault="7D13926C" w:rsidP="7D13926C">
          <w:pPr>
            <w:pStyle w:val="Header"/>
            <w:ind w:left="-115"/>
          </w:pPr>
        </w:p>
      </w:tc>
      <w:tc>
        <w:tcPr>
          <w:tcW w:w="3120" w:type="dxa"/>
        </w:tcPr>
        <w:p w14:paraId="33BC54DA" w14:textId="5B17FAE1" w:rsidR="7D13926C" w:rsidRDefault="7D13926C" w:rsidP="7D13926C">
          <w:pPr>
            <w:pStyle w:val="Header"/>
            <w:jc w:val="center"/>
          </w:pPr>
        </w:p>
      </w:tc>
      <w:tc>
        <w:tcPr>
          <w:tcW w:w="3120" w:type="dxa"/>
        </w:tcPr>
        <w:p w14:paraId="2F7FBDE3" w14:textId="7F8525A9" w:rsidR="7D13926C" w:rsidRDefault="7D13926C" w:rsidP="7D13926C">
          <w:pPr>
            <w:pStyle w:val="Header"/>
            <w:ind w:right="-115"/>
            <w:jc w:val="right"/>
          </w:pPr>
        </w:p>
      </w:tc>
    </w:tr>
  </w:tbl>
  <w:p w14:paraId="0DCFBB74" w14:textId="571A6406" w:rsidR="7D13926C" w:rsidRDefault="7D13926C" w:rsidP="7D13926C">
    <w:pPr>
      <w:pStyle w:val="Header"/>
    </w:pPr>
  </w:p>
</w:hdr>
</file>

<file path=word/intelligence2.xml><?xml version="1.0" encoding="utf-8"?>
<int2:intelligence xmlns:int2="http://schemas.microsoft.com/office/intelligence/2020/intelligence">
  <int2:observations>
    <int2:textHash int2:hashCode="QRzTRe2PnPjF0T" int2:id="BlxfhG50">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30"/>
  <w:documentProtection w:edit="readOnly" w:enforcement="1" w:cryptProviderType="rsaFull" w:cryptAlgorithmClass="hash" w:cryptAlgorithmType="typeAny" w:cryptAlgorithmSid="4" w:cryptSpinCount="100000" w:hash="etZ0u7dZ4y6gyYwCK3xqYzFDwaI=" w:salt="p/6ntvn+n4TaIV/SZ2zi0g=="/>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20F4"/>
    <w:rsid w:val="0015074B"/>
    <w:rsid w:val="0029639D"/>
    <w:rsid w:val="00326F90"/>
    <w:rsid w:val="00582C63"/>
    <w:rsid w:val="006427CE"/>
    <w:rsid w:val="006F1C8E"/>
    <w:rsid w:val="007E6BA2"/>
    <w:rsid w:val="00AA1D8D"/>
    <w:rsid w:val="00B47730"/>
    <w:rsid w:val="00BA10EA"/>
    <w:rsid w:val="00CB0664"/>
    <w:rsid w:val="00D65DD1"/>
    <w:rsid w:val="00FC693F"/>
    <w:rsid w:val="1B6AFFE7"/>
    <w:rsid w:val="403C9B8B"/>
    <w:rsid w:val="42A57F09"/>
    <w:rsid w:val="7D13926C"/>
    <w:rsid w:val="7F6B33DE"/>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9F70BC-71B7-44DA-B691-6ED9C715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theme" Target="theme/theme1.xml"/><Relationship Id="Rabe0b32b10894d3f" Type="http://schemas.microsoft.com/office/2020/10/relationships/intelligence" Target="intelligence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DD0D33-982E-7C4A-B1C3-3B562D73A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444</Words>
  <Characters>2532</Characters>
  <Application>Microsoft Macintosh Word</Application>
  <DocSecurity>10</DocSecurity>
  <Lines>21</Lines>
  <Paragraphs>5</Paragraphs>
  <ScaleCrop>false</ScaleCrop>
  <Manager/>
  <Company/>
  <LinksUpToDate>false</LinksUpToDate>
  <CharactersWithSpaces>2971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armandslabbert@gmail.com</cp:lastModifiedBy>
  <cp:revision>5</cp:revision>
  <dcterms:created xsi:type="dcterms:W3CDTF">2013-12-23T23:15:00Z</dcterms:created>
  <dcterms:modified xsi:type="dcterms:W3CDTF">2026-02-06T16:22:00Z</dcterms:modified>
  <cp:category/>
</cp:coreProperties>
</file>