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D603D2" w14:textId="26D54CE3" w:rsidR="377E9591" w:rsidRDefault="377E9591" w:rsidP="377E9591">
      <w:pPr>
        <w:jc w:val="center"/>
        <w:rPr>
          <w:rFonts w:ascii="Calibri" w:eastAsia="Calibri" w:hAnsi="Calibri" w:cs="Calibri"/>
          <w:color w:val="365F91" w:themeColor="accent1" w:themeShade="BF"/>
          <w:sz w:val="56"/>
          <w:szCs w:val="56"/>
        </w:rPr>
      </w:pPr>
      <w:bookmarkStart w:id="0" w:name="_GoBack"/>
      <w:bookmarkEnd w:id="0"/>
    </w:p>
    <w:p w14:paraId="33C0B549" w14:textId="0BCE8201" w:rsidR="735CE190" w:rsidRDefault="735CE190" w:rsidP="377E9591">
      <w:pPr>
        <w:jc w:val="center"/>
        <w:rPr>
          <w:rFonts w:ascii="Calibri" w:eastAsia="Calibri" w:hAnsi="Calibri" w:cs="Calibri"/>
          <w:color w:val="365F91" w:themeColor="accent1" w:themeShade="BF"/>
          <w:sz w:val="56"/>
          <w:szCs w:val="56"/>
        </w:rPr>
      </w:pPr>
      <w:r w:rsidRPr="377E9591">
        <w:rPr>
          <w:rFonts w:ascii="Calibri" w:eastAsia="Calibri" w:hAnsi="Calibri" w:cs="Calibri"/>
          <w:b/>
          <w:bCs/>
          <w:color w:val="365F91" w:themeColor="accent1" w:themeShade="BF"/>
          <w:sz w:val="56"/>
          <w:szCs w:val="56"/>
          <w:highlight w:val="lightGray"/>
        </w:rPr>
        <w:t>COMPANY NAME</w:t>
      </w:r>
      <w:r w:rsidRPr="377E9591">
        <w:rPr>
          <w:rFonts w:ascii="Calibri" w:eastAsia="Calibri" w:hAnsi="Calibri" w:cs="Calibri"/>
          <w:b/>
          <w:bCs/>
          <w:color w:val="365F91" w:themeColor="accent1" w:themeShade="BF"/>
          <w:sz w:val="56"/>
          <w:szCs w:val="56"/>
        </w:rPr>
        <w:t xml:space="preserve"> </w:t>
      </w:r>
      <w:r>
        <w:br/>
      </w:r>
    </w:p>
    <w:p w14:paraId="17FBEEA2" w14:textId="4856C2A7" w:rsidR="735CE190" w:rsidRDefault="735CE190" w:rsidP="377E9591">
      <w:pPr>
        <w:jc w:val="center"/>
        <w:rPr>
          <w:rFonts w:ascii="Calibri" w:eastAsia="Calibri" w:hAnsi="Calibri" w:cs="Calibri"/>
          <w:color w:val="365F91" w:themeColor="accent1" w:themeShade="BF"/>
          <w:sz w:val="28"/>
          <w:szCs w:val="28"/>
        </w:rPr>
      </w:pPr>
      <w:r w:rsidRPr="377E9591">
        <w:rPr>
          <w:rFonts w:ascii="Calibri" w:eastAsia="Calibri" w:hAnsi="Calibri" w:cs="Calibri"/>
          <w:b/>
          <w:bCs/>
          <w:color w:val="365F91" w:themeColor="accent1" w:themeShade="BF"/>
          <w:sz w:val="28"/>
          <w:szCs w:val="28"/>
        </w:rPr>
        <w:t xml:space="preserve"> </w:t>
      </w:r>
      <w:r>
        <w:br/>
      </w:r>
      <w:r w:rsidRPr="377E9591">
        <w:rPr>
          <w:rFonts w:ascii="Calibri" w:eastAsia="Calibri" w:hAnsi="Calibri" w:cs="Calibri"/>
          <w:b/>
          <w:bCs/>
          <w:color w:val="365F91" w:themeColor="accent1" w:themeShade="BF"/>
          <w:sz w:val="40"/>
          <w:szCs w:val="40"/>
          <w:u w:val="single"/>
        </w:rPr>
        <w:t>SOP 09 – Cash &amp; Banking</w:t>
      </w:r>
      <w:r>
        <w:br/>
      </w:r>
      <w:r w:rsidRPr="377E9591">
        <w:rPr>
          <w:rFonts w:ascii="Calibri" w:eastAsia="Calibri" w:hAnsi="Calibri" w:cs="Calibri"/>
          <w:b/>
          <w:bCs/>
          <w:color w:val="365F91" w:themeColor="accent1" w:themeShade="BF"/>
          <w:sz w:val="28"/>
          <w:szCs w:val="28"/>
        </w:rPr>
        <w:t xml:space="preserve">STANDARD OPERATING PROCEDURE (SOP) </w:t>
      </w:r>
      <w:r>
        <w:br/>
      </w:r>
      <w:r w:rsidRPr="377E9591">
        <w:rPr>
          <w:rFonts w:ascii="Calibri" w:eastAsia="Calibri" w:hAnsi="Calibri" w:cs="Calibri"/>
          <w:b/>
          <w:bCs/>
          <w:color w:val="365F91" w:themeColor="accent1" w:themeShade="BF"/>
          <w:sz w:val="28"/>
          <w:szCs w:val="28"/>
        </w:rPr>
        <w:t xml:space="preserve"> </w:t>
      </w:r>
    </w:p>
    <w:p w14:paraId="5BDD2DAF" w14:textId="56D0E02E" w:rsidR="735CE190" w:rsidRDefault="735CE190" w:rsidP="377E9591">
      <w:pPr>
        <w:jc w:val="center"/>
        <w:rPr>
          <w:rFonts w:ascii="Calibri" w:eastAsia="Calibri" w:hAnsi="Calibri" w:cs="Calibri"/>
          <w:color w:val="365F91" w:themeColor="accent1" w:themeShade="BF"/>
          <w:sz w:val="28"/>
          <w:szCs w:val="28"/>
        </w:rPr>
      </w:pPr>
      <w:r w:rsidRPr="377E9591">
        <w:rPr>
          <w:rFonts w:ascii="Calibri" w:eastAsia="Calibri" w:hAnsi="Calibri" w:cs="Calibri"/>
          <w:b/>
          <w:bCs/>
          <w:color w:val="365F91" w:themeColor="accent1" w:themeShade="BF"/>
          <w:sz w:val="28"/>
          <w:szCs w:val="28"/>
        </w:rPr>
        <w:t xml:space="preserve"> </w:t>
      </w:r>
      <w:r>
        <w:br/>
      </w:r>
      <w:r w:rsidRPr="377E9591">
        <w:rPr>
          <w:rFonts w:ascii="Calibri" w:eastAsia="Calibri" w:hAnsi="Calibri" w:cs="Calibri"/>
          <w:b/>
          <w:bCs/>
          <w:color w:val="365F91" w:themeColor="accent1" w:themeShade="BF"/>
          <w:sz w:val="28"/>
          <w:szCs w:val="28"/>
          <w:highlight w:val="lightGray"/>
        </w:rPr>
        <w:t>[Insert Company Logo Here]</w:t>
      </w:r>
      <w:r w:rsidRPr="377E9591">
        <w:rPr>
          <w:rFonts w:ascii="Calibri" w:eastAsia="Calibri" w:hAnsi="Calibri" w:cs="Calibri"/>
          <w:b/>
          <w:bCs/>
          <w:color w:val="365F91" w:themeColor="accent1" w:themeShade="BF"/>
          <w:sz w:val="28"/>
          <w:szCs w:val="28"/>
        </w:rPr>
        <w:t xml:space="preserve"> </w:t>
      </w:r>
      <w:r>
        <w:br/>
      </w:r>
      <w:r w:rsidRPr="377E9591">
        <w:rPr>
          <w:rFonts w:ascii="Calibri" w:eastAsia="Calibri" w:hAnsi="Calibri" w:cs="Calibri"/>
          <w:b/>
          <w:bCs/>
          <w:color w:val="365F91" w:themeColor="accent1" w:themeShade="BF"/>
          <w:sz w:val="28"/>
          <w:szCs w:val="28"/>
        </w:rPr>
        <w:t xml:space="preserve"> </w:t>
      </w:r>
    </w:p>
    <w:p w14:paraId="457658A7" w14:textId="3CF39568" w:rsidR="377E9591" w:rsidRDefault="377E9591" w:rsidP="377E9591">
      <w:pPr>
        <w:jc w:val="center"/>
        <w:rPr>
          <w:rFonts w:ascii="Calibri" w:eastAsia="Calibri" w:hAnsi="Calibri" w:cs="Calibri"/>
          <w:color w:val="365F91" w:themeColor="accent1" w:themeShade="BF"/>
          <w:sz w:val="28"/>
          <w:szCs w:val="28"/>
        </w:rPr>
      </w:pPr>
    </w:p>
    <w:p w14:paraId="76EE6ED0" w14:textId="734EBC55" w:rsidR="377E9591" w:rsidRDefault="377E9591" w:rsidP="377E9591">
      <w:pPr>
        <w:jc w:val="center"/>
        <w:rPr>
          <w:rFonts w:ascii="Calibri" w:eastAsia="Calibri" w:hAnsi="Calibri" w:cs="Calibri"/>
          <w:color w:val="365F91" w:themeColor="accent1" w:themeShade="BF"/>
          <w:sz w:val="28"/>
          <w:szCs w:val="28"/>
        </w:rPr>
      </w:pPr>
    </w:p>
    <w:p w14:paraId="52F74873" w14:textId="2AA1ED04" w:rsidR="377E9591" w:rsidRDefault="377E9591" w:rsidP="377E9591">
      <w:pPr>
        <w:jc w:val="center"/>
        <w:rPr>
          <w:rFonts w:ascii="Calibri" w:eastAsia="Calibri" w:hAnsi="Calibri" w:cs="Calibri"/>
          <w:color w:val="365F91" w:themeColor="accent1" w:themeShade="BF"/>
          <w:sz w:val="28"/>
          <w:szCs w:val="28"/>
        </w:rPr>
      </w:pPr>
    </w:p>
    <w:p w14:paraId="51BD4C9B" w14:textId="731AC1E4" w:rsidR="377E9591" w:rsidRDefault="377E9591" w:rsidP="377E9591">
      <w:pPr>
        <w:jc w:val="center"/>
        <w:rPr>
          <w:rFonts w:ascii="Calibri" w:eastAsia="Calibri" w:hAnsi="Calibri" w:cs="Calibri"/>
          <w:color w:val="365F91" w:themeColor="accent1" w:themeShade="BF"/>
          <w:sz w:val="28"/>
          <w:szCs w:val="28"/>
        </w:rPr>
      </w:pPr>
    </w:p>
    <w:p w14:paraId="5BBD1BB6" w14:textId="26ECC441" w:rsidR="377E9591" w:rsidRDefault="377E9591" w:rsidP="377E9591">
      <w:pPr>
        <w:jc w:val="center"/>
        <w:rPr>
          <w:rFonts w:ascii="Calibri" w:eastAsia="Calibri" w:hAnsi="Calibri" w:cs="Calibri"/>
          <w:color w:val="365F91" w:themeColor="accent1" w:themeShade="BF"/>
          <w:sz w:val="28"/>
          <w:szCs w:val="28"/>
        </w:rPr>
      </w:pPr>
    </w:p>
    <w:p w14:paraId="22D2D4C2" w14:textId="53B720CD" w:rsidR="377E9591" w:rsidRDefault="377E9591" w:rsidP="377E9591">
      <w:pPr>
        <w:jc w:val="center"/>
        <w:rPr>
          <w:rFonts w:ascii="Calibri" w:eastAsia="Calibri" w:hAnsi="Calibri" w:cs="Calibri"/>
          <w:color w:val="365F91" w:themeColor="accent1" w:themeShade="BF"/>
          <w:sz w:val="28"/>
          <w:szCs w:val="28"/>
        </w:rPr>
      </w:pPr>
    </w:p>
    <w:p w14:paraId="15B167A7" w14:textId="7BE318AF" w:rsidR="377E9591" w:rsidRDefault="377E9591" w:rsidP="377E9591">
      <w:pPr>
        <w:jc w:val="center"/>
        <w:rPr>
          <w:rFonts w:ascii="Calibri" w:eastAsia="Calibri" w:hAnsi="Calibri" w:cs="Calibri"/>
          <w:color w:val="365F91" w:themeColor="accent1" w:themeShade="BF"/>
          <w:sz w:val="28"/>
          <w:szCs w:val="28"/>
        </w:rPr>
      </w:pPr>
    </w:p>
    <w:p w14:paraId="0B248C34" w14:textId="7FC18492" w:rsidR="377E9591" w:rsidRDefault="377E9591" w:rsidP="377E9591">
      <w:pPr>
        <w:jc w:val="center"/>
        <w:rPr>
          <w:rFonts w:ascii="Calibri" w:eastAsia="Calibri" w:hAnsi="Calibri" w:cs="Calibri"/>
          <w:color w:val="365F91" w:themeColor="accent1" w:themeShade="BF"/>
          <w:sz w:val="28"/>
          <w:szCs w:val="28"/>
        </w:rPr>
      </w:pPr>
    </w:p>
    <w:p w14:paraId="7E278051" w14:textId="2C66DC9E" w:rsidR="377E9591" w:rsidRDefault="377E9591" w:rsidP="377E9591">
      <w:pPr>
        <w:jc w:val="center"/>
        <w:rPr>
          <w:rFonts w:ascii="Calibri" w:eastAsia="Calibri" w:hAnsi="Calibri" w:cs="Calibri"/>
          <w:color w:val="365F91" w:themeColor="accent1" w:themeShade="BF"/>
          <w:sz w:val="28"/>
          <w:szCs w:val="28"/>
        </w:rPr>
      </w:pPr>
    </w:p>
    <w:p w14:paraId="14A2BF0F" w14:textId="09B8D626" w:rsidR="735CE190" w:rsidRDefault="735CE190" w:rsidP="377E9591">
      <w:pPr>
        <w:jc w:val="center"/>
        <w:rPr>
          <w:rFonts w:ascii="Calibri" w:eastAsia="Calibri" w:hAnsi="Calibri" w:cs="Calibri"/>
          <w:color w:val="365F91" w:themeColor="accent1" w:themeShade="BF"/>
          <w:sz w:val="28"/>
          <w:szCs w:val="28"/>
        </w:rPr>
      </w:pPr>
      <w:r>
        <w:br/>
      </w:r>
      <w:r w:rsidRPr="377E9591">
        <w:rPr>
          <w:rFonts w:ascii="Calibri" w:eastAsia="Calibri" w:hAnsi="Calibri" w:cs="Calibri"/>
          <w:b/>
          <w:bCs/>
          <w:color w:val="365F91" w:themeColor="accent1" w:themeShade="BF"/>
          <w:sz w:val="28"/>
          <w:szCs w:val="28"/>
        </w:rPr>
        <w:t xml:space="preserve">Version: 1.0 </w:t>
      </w:r>
      <w:r>
        <w:br/>
      </w:r>
      <w:r w:rsidRPr="377E9591">
        <w:rPr>
          <w:rFonts w:ascii="Calibri" w:eastAsia="Calibri" w:hAnsi="Calibri" w:cs="Calibri"/>
          <w:b/>
          <w:bCs/>
          <w:color w:val="365F91" w:themeColor="accent1" w:themeShade="BF"/>
          <w:sz w:val="28"/>
          <w:szCs w:val="28"/>
        </w:rPr>
        <w:t>Effective Date: 0</w:t>
      </w:r>
      <w:r w:rsidR="6511EF7F" w:rsidRPr="377E9591">
        <w:rPr>
          <w:rFonts w:ascii="Calibri" w:eastAsia="Calibri" w:hAnsi="Calibri" w:cs="Calibri"/>
          <w:b/>
          <w:bCs/>
          <w:color w:val="365F91" w:themeColor="accent1" w:themeShade="BF"/>
          <w:sz w:val="28"/>
          <w:szCs w:val="28"/>
        </w:rPr>
        <w:t>5</w:t>
      </w:r>
      <w:r w:rsidRPr="377E9591">
        <w:rPr>
          <w:rFonts w:ascii="Calibri" w:eastAsia="Calibri" w:hAnsi="Calibri" w:cs="Calibri"/>
          <w:b/>
          <w:bCs/>
          <w:color w:val="365F91" w:themeColor="accent1" w:themeShade="BF"/>
          <w:sz w:val="28"/>
          <w:szCs w:val="28"/>
        </w:rPr>
        <w:t xml:space="preserve"> February 2026 </w:t>
      </w:r>
      <w:r>
        <w:br/>
      </w:r>
      <w:r w:rsidRPr="377E9591">
        <w:rPr>
          <w:rFonts w:ascii="Calibri" w:eastAsia="Calibri" w:hAnsi="Calibri" w:cs="Calibri"/>
          <w:b/>
          <w:bCs/>
          <w:color w:val="365F91" w:themeColor="accent1" w:themeShade="BF"/>
          <w:sz w:val="28"/>
          <w:szCs w:val="28"/>
        </w:rPr>
        <w:t>Document Owner: Armand Slabbert</w:t>
      </w:r>
    </w:p>
    <w:p w14:paraId="62F80BDE" w14:textId="55E73AB4" w:rsidR="735CE190" w:rsidRDefault="735CE190" w:rsidP="377E9591">
      <w:pPr>
        <w:pStyle w:val="Title"/>
        <w:pBdr>
          <w:bottom w:val="single" w:sz="8" w:space="4" w:color="4F81BD"/>
        </w:pBdr>
        <w:rPr>
          <w:rFonts w:ascii="Calibri" w:eastAsia="Calibri" w:hAnsi="Calibri" w:cs="Calibri"/>
        </w:rPr>
      </w:pPr>
      <w:r w:rsidRPr="377E9591">
        <w:rPr>
          <w:rFonts w:ascii="Calibri" w:eastAsia="Calibri" w:hAnsi="Calibri" w:cs="Calibri"/>
        </w:rPr>
        <w:lastRenderedPageBreak/>
        <w:t>STANDARD OPERATING PROCEDURE (SOP</w:t>
      </w:r>
      <w:r w:rsidR="3B61FDEF" w:rsidRPr="377E9591">
        <w:rPr>
          <w:rFonts w:ascii="Calibri" w:eastAsia="Calibri" w:hAnsi="Calibri" w:cs="Calibri"/>
        </w:rPr>
        <w:t>)</w:t>
      </w:r>
    </w:p>
    <w:p w14:paraId="715FCC1B" w14:textId="6DBBCDAD" w:rsidR="00104393" w:rsidRDefault="377E9591">
      <w:pPr>
        <w:pStyle w:val="Heading1"/>
      </w:pPr>
      <w:r>
        <w:t>Cash &amp; Banking</w:t>
      </w:r>
    </w:p>
    <w:p w14:paraId="2C09F7F6" w14:textId="77777777" w:rsidR="00104393" w:rsidRDefault="008E7F03">
      <w:r>
        <w:t xml:space="preserve">This Standard Operating Procedure (SOP) defines the controls and procedures for managing cash, bank accounts, and banking transactions. The objective is to ensure accurate cash reporting, timely reconciliations, and strong controls over the organisation’s </w:t>
      </w:r>
      <w:r>
        <w:t>most liquid assets.</w:t>
      </w:r>
    </w:p>
    <w:p w14:paraId="2D4ACC3A" w14:textId="77777777" w:rsidR="00104393" w:rsidRDefault="008E7F03">
      <w:pPr>
        <w:pStyle w:val="Heading2"/>
      </w:pPr>
      <w:r>
        <w:t>1. Purpose</w:t>
      </w:r>
    </w:p>
    <w:p w14:paraId="1929E77D" w14:textId="77777777" w:rsidR="00104393" w:rsidRDefault="008E7F03">
      <w:r>
        <w:t>The purpose of this SOP is to establish a controlled framework for cash and banking activities, reducing the risk of errors, fraud, and misstatements, and ensuring reliable cashflow information.</w:t>
      </w:r>
    </w:p>
    <w:p w14:paraId="2E3BAD62" w14:textId="77777777" w:rsidR="00104393" w:rsidRDefault="008E7F03">
      <w:pPr>
        <w:pStyle w:val="Heading2"/>
      </w:pPr>
      <w:r>
        <w:t>2. Scope</w:t>
      </w:r>
    </w:p>
    <w:p w14:paraId="2FBA7999" w14:textId="77777777" w:rsidR="00104393" w:rsidRDefault="008E7F03">
      <w:r>
        <w:t>This SOP applies to a</w:t>
      </w:r>
      <w:r>
        <w:t>ll bank accounts, cash transactions, electronic payments, receipts, and related reconciliations across the organisation.</w:t>
      </w:r>
    </w:p>
    <w:p w14:paraId="1AF777C8" w14:textId="77777777" w:rsidR="00104393" w:rsidRDefault="008E7F03">
      <w:pPr>
        <w:pStyle w:val="Heading2"/>
      </w:pPr>
      <w:r>
        <w:t>3. Standards &amp; References</w:t>
      </w:r>
    </w:p>
    <w:p w14:paraId="56C60D6E" w14:textId="77777777" w:rsidR="00104393" w:rsidRDefault="008E7F03">
      <w:r>
        <w:t>- IAS 1 – Presentation of Financial Statements</w:t>
      </w:r>
      <w:r>
        <w:br/>
        <w:t>- IFRS – Accrual Basis of Accounting</w:t>
      </w:r>
      <w:r>
        <w:br/>
        <w:t>- Internal Financial Cont</w:t>
      </w:r>
      <w:r>
        <w:t>rols Framework</w:t>
      </w:r>
      <w:r>
        <w:br/>
        <w:t>- Banking Mandates &amp; Delegation of Authority</w:t>
      </w:r>
    </w:p>
    <w:p w14:paraId="6EA85D0D" w14:textId="77777777" w:rsidR="00104393" w:rsidRDefault="008E7F03">
      <w:pPr>
        <w:pStyle w:val="Heading2"/>
      </w:pPr>
      <w:r>
        <w:t>4. Roles &amp; Responsibilities</w:t>
      </w:r>
    </w:p>
    <w:p w14:paraId="686AFF11" w14:textId="77777777" w:rsidR="00104393" w:rsidRDefault="008E7F03">
      <w:r>
        <w:t>Finance Manager:</w:t>
      </w:r>
      <w:r>
        <w:br/>
        <w:t>- Overall ownership of cash and banking controls</w:t>
      </w:r>
      <w:r>
        <w:br/>
        <w:t>- Review and approval of bank reconciliations</w:t>
      </w:r>
      <w:r>
        <w:br/>
        <w:t>- Oversight of cashflow management</w:t>
      </w:r>
      <w:r>
        <w:br/>
      </w:r>
      <w:r>
        <w:br/>
        <w:t>Finance Team:</w:t>
      </w:r>
      <w:r>
        <w:br/>
        <w:t>- Dail</w:t>
      </w:r>
      <w:r>
        <w:t>y cash monitoring</w:t>
      </w:r>
      <w:r>
        <w:br/>
        <w:t>- Preparation of bank reconciliations</w:t>
      </w:r>
      <w:r>
        <w:br/>
        <w:t>- Processing of payments and receipts</w:t>
      </w:r>
      <w:r>
        <w:br/>
      </w:r>
      <w:r>
        <w:br/>
        <w:t>Authorised Signatories:</w:t>
      </w:r>
      <w:r>
        <w:br/>
        <w:t>- Approval of payments in line with mandates</w:t>
      </w:r>
    </w:p>
    <w:p w14:paraId="41D279A3" w14:textId="77777777" w:rsidR="00104393" w:rsidRDefault="008E7F03">
      <w:pPr>
        <w:pStyle w:val="Heading2"/>
      </w:pPr>
      <w:r>
        <w:t>5. Bank Accounts &amp; Access</w:t>
      </w:r>
    </w:p>
    <w:p w14:paraId="2EEB8FAA" w14:textId="77777777" w:rsidR="00104393" w:rsidRDefault="008E7F03">
      <w:r>
        <w:t>- Maintain an approved list of bank accounts.</w:t>
      </w:r>
      <w:r>
        <w:br/>
        <w:t xml:space="preserve">- Ensure banking </w:t>
      </w:r>
      <w:r>
        <w:t>mandates and user access are current.</w:t>
      </w:r>
      <w:r>
        <w:br/>
        <w:t>- Review bank access rights periodically.</w:t>
      </w:r>
    </w:p>
    <w:p w14:paraId="29FFC2F8" w14:textId="77777777" w:rsidR="00104393" w:rsidRDefault="008E7F03">
      <w:pPr>
        <w:pStyle w:val="Heading2"/>
      </w:pPr>
      <w:r>
        <w:t>6. Cash Receipts</w:t>
      </w:r>
    </w:p>
    <w:p w14:paraId="3AFB888E" w14:textId="77777777" w:rsidR="00104393" w:rsidRDefault="008E7F03">
      <w:r>
        <w:t>- Record all cash receipts promptly and accurately.</w:t>
      </w:r>
      <w:r>
        <w:br/>
        <w:t>- Match receipts to customer accounts.</w:t>
      </w:r>
      <w:r>
        <w:br/>
        <w:t>- Investigate and resolve unidentified receipts.</w:t>
      </w:r>
    </w:p>
    <w:p w14:paraId="11291432" w14:textId="77777777" w:rsidR="00104393" w:rsidRDefault="008E7F03">
      <w:pPr>
        <w:pStyle w:val="Heading2"/>
      </w:pPr>
      <w:r>
        <w:t>7. Payments &amp; Disbu</w:t>
      </w:r>
      <w:r>
        <w:t>rsements</w:t>
      </w:r>
    </w:p>
    <w:p w14:paraId="1BC03CC9" w14:textId="77777777" w:rsidR="00104393" w:rsidRDefault="008E7F03">
      <w:r>
        <w:t>- Process supplier and payroll payments in line with approval limits.</w:t>
      </w:r>
      <w:r>
        <w:br/>
        <w:t>- Ensure segregation of duties between preparation and approval.</w:t>
      </w:r>
      <w:r>
        <w:br/>
        <w:t>- Retain proof of payment.</w:t>
      </w:r>
    </w:p>
    <w:p w14:paraId="5D40E8FA" w14:textId="77777777" w:rsidR="00104393" w:rsidRDefault="008E7F03">
      <w:pPr>
        <w:pStyle w:val="Heading2"/>
      </w:pPr>
      <w:r>
        <w:t>8. Bank Reconciliations</w:t>
      </w:r>
    </w:p>
    <w:p w14:paraId="690A83D4" w14:textId="77777777" w:rsidR="00104393" w:rsidRDefault="008E7F03">
      <w:r>
        <w:t>- Perform bank reconciliations monthly (or more frequently wh</w:t>
      </w:r>
      <w:r>
        <w:t>ere required).</w:t>
      </w:r>
      <w:r>
        <w:br/>
        <w:t>- Investigate reconciling items promptly.</w:t>
      </w:r>
      <w:r>
        <w:br/>
        <w:t>- Ensure reconciliations are reviewed and signed off.</w:t>
      </w:r>
    </w:p>
    <w:p w14:paraId="5749AF7D" w14:textId="77777777" w:rsidR="00104393" w:rsidRDefault="008E7F03">
      <w:pPr>
        <w:pStyle w:val="Heading2"/>
      </w:pPr>
      <w:r>
        <w:t>9. Cashflow Monitoring</w:t>
      </w:r>
    </w:p>
    <w:p w14:paraId="700B3CBE" w14:textId="1DFFAA48" w:rsidR="00104393" w:rsidRDefault="377E9591">
      <w:r>
        <w:t>- Monitor daily cash balances.</w:t>
      </w:r>
      <w:r w:rsidR="008E7F03">
        <w:br/>
      </w:r>
      <w:r>
        <w:t xml:space="preserve">- Prepare short-term </w:t>
      </w:r>
      <w:r w:rsidR="42BB0281">
        <w:t>cash flow</w:t>
      </w:r>
      <w:r>
        <w:t xml:space="preserve"> forecasts.</w:t>
      </w:r>
      <w:r w:rsidR="008E7F03">
        <w:br/>
      </w:r>
      <w:r>
        <w:t>- Escalate potential liquidity risks to management.</w:t>
      </w:r>
    </w:p>
    <w:p w14:paraId="3F8A2284" w14:textId="77777777" w:rsidR="00104393" w:rsidRDefault="008E7F03">
      <w:pPr>
        <w:pStyle w:val="Heading2"/>
      </w:pPr>
      <w:r>
        <w:t>10. Fraud Prevention &amp; Controls</w:t>
      </w:r>
    </w:p>
    <w:p w14:paraId="16271161" w14:textId="77777777" w:rsidR="00104393" w:rsidRDefault="008E7F03">
      <w:r>
        <w:t>- Implement segregation of duties.</w:t>
      </w:r>
      <w:r>
        <w:br/>
        <w:t>- Review unusual or high-risk transactions.</w:t>
      </w:r>
      <w:r>
        <w:br/>
        <w:t>- Maintain controls over banking access and payment approvals.</w:t>
      </w:r>
    </w:p>
    <w:p w14:paraId="5B405AA5" w14:textId="77777777" w:rsidR="00104393" w:rsidRDefault="008E7F03">
      <w:pPr>
        <w:pStyle w:val="Heading2"/>
      </w:pPr>
      <w:r>
        <w:t>11. Documentation &amp; Record Keeping</w:t>
      </w:r>
    </w:p>
    <w:p w14:paraId="781066A0" w14:textId="77777777" w:rsidR="00104393" w:rsidRDefault="008E7F03">
      <w:r>
        <w:t>Maintain bank statements, reconciliations, p</w:t>
      </w:r>
      <w:r>
        <w:t>ayment approvals, and supporting documentation in line with record retention requirements.</w:t>
      </w:r>
    </w:p>
    <w:p w14:paraId="0B9B31BE" w14:textId="77777777" w:rsidR="00104393" w:rsidRDefault="008E7F03">
      <w:pPr>
        <w:pStyle w:val="Heading2"/>
      </w:pPr>
      <w:r>
        <w:t>12. Compliance Monitoring &amp; Audits</w:t>
      </w:r>
    </w:p>
    <w:p w14:paraId="1194C952" w14:textId="77777777" w:rsidR="00104393" w:rsidRDefault="008E7F03">
      <w:r>
        <w:t>Compliance with this SOP is monitored through internal reviews, management oversight, and external audits.</w:t>
      </w:r>
    </w:p>
    <w:p w14:paraId="58AF3B82" w14:textId="77777777" w:rsidR="00104393" w:rsidRDefault="008E7F03">
      <w:pPr>
        <w:pStyle w:val="Heading2"/>
      </w:pPr>
      <w:r>
        <w:t>13. Review &amp; Update</w:t>
      </w:r>
    </w:p>
    <w:p w14:paraId="2265CCD4" w14:textId="77777777" w:rsidR="00104393" w:rsidRDefault="008E7F03">
      <w:r>
        <w:t>Thi</w:t>
      </w:r>
      <w:r>
        <w:t>s SOP must be reviewed annually or upon changes to banking arrangements, systems, or internal controls.</w:t>
      </w:r>
    </w:p>
    <w:sectPr w:rsidR="0010439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D3D124" w14:textId="77777777" w:rsidR="008E7F03" w:rsidRDefault="008E7F03">
      <w:pPr>
        <w:spacing w:after="0" w:line="240" w:lineRule="auto"/>
      </w:pPr>
      <w:r>
        <w:separator/>
      </w:r>
    </w:p>
  </w:endnote>
  <w:endnote w:type="continuationSeparator" w:id="0">
    <w:p w14:paraId="2643A720" w14:textId="77777777" w:rsidR="008E7F03" w:rsidRDefault="008E7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20"/>
      <w:gridCol w:w="3120"/>
      <w:gridCol w:w="3120"/>
    </w:tblGrid>
    <w:tr w:rsidR="377E9591" w14:paraId="2687F4F6" w14:textId="77777777" w:rsidTr="377E9591">
      <w:trPr>
        <w:trHeight w:val="300"/>
      </w:trPr>
      <w:tc>
        <w:tcPr>
          <w:tcW w:w="3120" w:type="dxa"/>
        </w:tcPr>
        <w:p w14:paraId="11DDA79B" w14:textId="6DAA6E03" w:rsidR="377E9591" w:rsidRDefault="377E9591" w:rsidP="377E9591">
          <w:pPr>
            <w:pStyle w:val="Header"/>
            <w:ind w:left="-115"/>
          </w:pPr>
        </w:p>
      </w:tc>
      <w:tc>
        <w:tcPr>
          <w:tcW w:w="3120" w:type="dxa"/>
        </w:tcPr>
        <w:p w14:paraId="045BF537" w14:textId="13ECF7FB" w:rsidR="377E9591" w:rsidRDefault="377E9591" w:rsidP="377E9591">
          <w:pPr>
            <w:pStyle w:val="Header"/>
            <w:jc w:val="center"/>
          </w:pPr>
          <w:r>
            <w:fldChar w:fldCharType="begin"/>
          </w:r>
          <w:r>
            <w:instrText>PAGE</w:instrText>
          </w:r>
          <w:r w:rsidR="004F47C7">
            <w:fldChar w:fldCharType="separate"/>
          </w:r>
          <w:r w:rsidR="008E7F03">
            <w:rPr>
              <w:noProof/>
            </w:rPr>
            <w:t>1</w:t>
          </w:r>
          <w:r>
            <w:fldChar w:fldCharType="end"/>
          </w:r>
        </w:p>
      </w:tc>
      <w:tc>
        <w:tcPr>
          <w:tcW w:w="3120" w:type="dxa"/>
        </w:tcPr>
        <w:p w14:paraId="42CD54DF" w14:textId="327145E6" w:rsidR="377E9591" w:rsidRDefault="377E9591" w:rsidP="377E9591">
          <w:pPr>
            <w:pStyle w:val="Header"/>
            <w:ind w:right="-115"/>
            <w:jc w:val="right"/>
          </w:pPr>
        </w:p>
      </w:tc>
    </w:tr>
  </w:tbl>
  <w:p w14:paraId="1C04D0DC" w14:textId="176F4A80" w:rsidR="377E9591" w:rsidRDefault="377E9591" w:rsidP="377E959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159125" w14:textId="77777777" w:rsidR="008E7F03" w:rsidRDefault="008E7F03">
      <w:pPr>
        <w:spacing w:after="0" w:line="240" w:lineRule="auto"/>
      </w:pPr>
      <w:r>
        <w:separator/>
      </w:r>
    </w:p>
  </w:footnote>
  <w:footnote w:type="continuationSeparator" w:id="0">
    <w:p w14:paraId="4BFC0095" w14:textId="77777777" w:rsidR="008E7F03" w:rsidRDefault="008E7F0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20"/>
      <w:gridCol w:w="3120"/>
      <w:gridCol w:w="3120"/>
    </w:tblGrid>
    <w:tr w:rsidR="377E9591" w14:paraId="1696C87D" w14:textId="77777777" w:rsidTr="377E9591">
      <w:trPr>
        <w:trHeight w:val="300"/>
      </w:trPr>
      <w:tc>
        <w:tcPr>
          <w:tcW w:w="3120" w:type="dxa"/>
        </w:tcPr>
        <w:p w14:paraId="69BCB3B0" w14:textId="43C51BDF" w:rsidR="377E9591" w:rsidRDefault="377E9591" w:rsidP="377E9591">
          <w:pPr>
            <w:pStyle w:val="Header"/>
            <w:ind w:left="-115"/>
          </w:pPr>
        </w:p>
      </w:tc>
      <w:tc>
        <w:tcPr>
          <w:tcW w:w="3120" w:type="dxa"/>
        </w:tcPr>
        <w:p w14:paraId="364EE878" w14:textId="3842A181" w:rsidR="377E9591" w:rsidRDefault="377E9591" w:rsidP="377E9591">
          <w:pPr>
            <w:pStyle w:val="Header"/>
            <w:jc w:val="center"/>
          </w:pPr>
        </w:p>
      </w:tc>
      <w:tc>
        <w:tcPr>
          <w:tcW w:w="3120" w:type="dxa"/>
        </w:tcPr>
        <w:p w14:paraId="18C5B1C3" w14:textId="6E9AF217" w:rsidR="377E9591" w:rsidRDefault="377E9591" w:rsidP="377E9591">
          <w:pPr>
            <w:pStyle w:val="Header"/>
            <w:ind w:right="-115"/>
            <w:jc w:val="right"/>
          </w:pPr>
        </w:p>
      </w:tc>
    </w:tr>
  </w:tbl>
  <w:p w14:paraId="06481228" w14:textId="5F043C04" w:rsidR="377E9591" w:rsidRDefault="377E9591" w:rsidP="377E9591">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60"/>
  <w:documentProtection w:edit="readOnly" w:enforcement="1" w:cryptProviderType="rsaFull" w:cryptAlgorithmClass="hash" w:cryptAlgorithmType="typeAny" w:cryptAlgorithmSid="4" w:cryptSpinCount="100000" w:hash="tdmgxYqj6wIQIjf4RVw3JAD7xtY=" w:salt="vbGzET4Oxsvx2nUaGy8Pwg=="/>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4393"/>
    <w:rsid w:val="0015074B"/>
    <w:rsid w:val="0029639D"/>
    <w:rsid w:val="00326F90"/>
    <w:rsid w:val="004F47C7"/>
    <w:rsid w:val="008E7F03"/>
    <w:rsid w:val="00AA1D8D"/>
    <w:rsid w:val="00B47730"/>
    <w:rsid w:val="00CB0664"/>
    <w:rsid w:val="00FC693F"/>
    <w:rsid w:val="1F626BAD"/>
    <w:rsid w:val="30A3CBC4"/>
    <w:rsid w:val="377E9591"/>
    <w:rsid w:val="39460A8E"/>
    <w:rsid w:val="3B61FDEF"/>
    <w:rsid w:val="42BB0281"/>
    <w:rsid w:val="6511EF7F"/>
    <w:rsid w:val="735CE190"/>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BB72991-D0FF-496A-BC0E-5B3F2054A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603060-E6E4-334C-85AF-B8E31920A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434</Words>
  <Characters>2479</Characters>
  <Application>Microsoft Macintosh Word</Application>
  <DocSecurity>10</DocSecurity>
  <Lines>20</Lines>
  <Paragraphs>5</Paragraphs>
  <ScaleCrop>false</ScaleCrop>
  <Manager/>
  <Company/>
  <LinksUpToDate>false</LinksUpToDate>
  <CharactersWithSpaces>2908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armandslabbert@gmail.com</cp:lastModifiedBy>
  <cp:revision>3</cp:revision>
  <dcterms:created xsi:type="dcterms:W3CDTF">2013-12-23T23:15:00Z</dcterms:created>
  <dcterms:modified xsi:type="dcterms:W3CDTF">2026-02-06T16:28:00Z</dcterms:modified>
  <cp:category/>
</cp:coreProperties>
</file>