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630BE3" w14:textId="19C9AB12" w:rsidR="25FA98E9" w:rsidRDefault="25FA98E9" w:rsidP="25FA98E9">
      <w:pPr>
        <w:jc w:val="center"/>
        <w:rPr>
          <w:rFonts w:ascii="Calibri" w:eastAsia="Calibri" w:hAnsi="Calibri" w:cs="Calibri"/>
          <w:color w:val="365F91" w:themeColor="accent1" w:themeShade="BF"/>
          <w:sz w:val="56"/>
          <w:szCs w:val="56"/>
        </w:rPr>
      </w:pPr>
    </w:p>
    <w:p w14:paraId="0607BEA7" w14:textId="27D82F9F" w:rsidR="104F024D" w:rsidRDefault="104F024D" w:rsidP="25FA98E9">
      <w:pPr>
        <w:jc w:val="center"/>
        <w:rPr>
          <w:rFonts w:ascii="Calibri" w:eastAsia="Calibri" w:hAnsi="Calibri" w:cs="Calibri"/>
          <w:color w:val="365F91" w:themeColor="accent1" w:themeShade="BF"/>
          <w:sz w:val="56"/>
          <w:szCs w:val="56"/>
        </w:rPr>
      </w:pPr>
      <w:r w:rsidRPr="25FA98E9">
        <w:rPr>
          <w:rFonts w:ascii="Calibri" w:eastAsia="Calibri" w:hAnsi="Calibri" w:cs="Calibri"/>
          <w:b/>
          <w:bCs/>
          <w:color w:val="365F91" w:themeColor="accent1" w:themeShade="BF"/>
          <w:sz w:val="56"/>
          <w:szCs w:val="56"/>
          <w:highlight w:val="lightGray"/>
        </w:rPr>
        <w:t>COMPANY NAME</w:t>
      </w:r>
      <w:r w:rsidRPr="25FA98E9">
        <w:rPr>
          <w:rFonts w:ascii="Calibri" w:eastAsia="Calibri" w:hAnsi="Calibri" w:cs="Calibri"/>
          <w:b/>
          <w:bCs/>
          <w:color w:val="365F91" w:themeColor="accent1" w:themeShade="BF"/>
          <w:sz w:val="56"/>
          <w:szCs w:val="56"/>
        </w:rPr>
        <w:t xml:space="preserve"> </w:t>
      </w:r>
      <w:r>
        <w:br/>
      </w:r>
    </w:p>
    <w:p w14:paraId="3EA523C5" w14:textId="3CE3BD04" w:rsidR="104F024D" w:rsidRDefault="104F024D" w:rsidP="25FA98E9">
      <w:pPr>
        <w:jc w:val="center"/>
        <w:rPr>
          <w:rFonts w:ascii="Calibri" w:eastAsia="Calibri" w:hAnsi="Calibri" w:cs="Calibri"/>
          <w:color w:val="365F91" w:themeColor="accent1" w:themeShade="BF"/>
          <w:sz w:val="28"/>
          <w:szCs w:val="28"/>
        </w:rPr>
      </w:pPr>
      <w:r w:rsidRPr="25FA98E9">
        <w:rPr>
          <w:rFonts w:ascii="Calibri" w:eastAsia="Calibri" w:hAnsi="Calibri" w:cs="Calibri"/>
          <w:b/>
          <w:bCs/>
          <w:color w:val="365F91" w:themeColor="accent1" w:themeShade="BF"/>
          <w:sz w:val="28"/>
          <w:szCs w:val="28"/>
        </w:rPr>
        <w:t xml:space="preserve"> </w:t>
      </w:r>
      <w:r>
        <w:br/>
      </w:r>
      <w:r w:rsidRPr="25FA98E9">
        <w:rPr>
          <w:rFonts w:ascii="Calibri" w:eastAsia="Calibri" w:hAnsi="Calibri" w:cs="Calibri"/>
          <w:b/>
          <w:bCs/>
          <w:color w:val="365F91" w:themeColor="accent1" w:themeShade="BF"/>
          <w:sz w:val="40"/>
          <w:szCs w:val="40"/>
          <w:u w:val="single"/>
        </w:rPr>
        <w:t>SOP 11 – Controls &amp; Escalation</w:t>
      </w:r>
      <w:r>
        <w:br/>
      </w:r>
      <w:r w:rsidRPr="25FA98E9">
        <w:rPr>
          <w:rFonts w:ascii="Calibri" w:eastAsia="Calibri" w:hAnsi="Calibri" w:cs="Calibri"/>
          <w:b/>
          <w:bCs/>
          <w:color w:val="365F91" w:themeColor="accent1" w:themeShade="BF"/>
          <w:sz w:val="28"/>
          <w:szCs w:val="28"/>
        </w:rPr>
        <w:t xml:space="preserve">STANDARD OPERATING PROCEDURE (SOP) </w:t>
      </w:r>
      <w:r>
        <w:br/>
      </w:r>
      <w:r w:rsidRPr="25FA98E9">
        <w:rPr>
          <w:rFonts w:ascii="Calibri" w:eastAsia="Calibri" w:hAnsi="Calibri" w:cs="Calibri"/>
          <w:b/>
          <w:bCs/>
          <w:color w:val="365F91" w:themeColor="accent1" w:themeShade="BF"/>
          <w:sz w:val="28"/>
          <w:szCs w:val="28"/>
        </w:rPr>
        <w:t xml:space="preserve"> </w:t>
      </w:r>
    </w:p>
    <w:p w14:paraId="3966E273" w14:textId="6AAF314F" w:rsidR="104F024D" w:rsidRDefault="104F024D" w:rsidP="25FA98E9">
      <w:pPr>
        <w:jc w:val="center"/>
        <w:rPr>
          <w:rFonts w:ascii="Calibri" w:eastAsia="Calibri" w:hAnsi="Calibri" w:cs="Calibri"/>
          <w:color w:val="365F91" w:themeColor="accent1" w:themeShade="BF"/>
          <w:sz w:val="28"/>
          <w:szCs w:val="28"/>
        </w:rPr>
      </w:pPr>
      <w:r w:rsidRPr="25FA98E9">
        <w:rPr>
          <w:rFonts w:ascii="Calibri" w:eastAsia="Calibri" w:hAnsi="Calibri" w:cs="Calibri"/>
          <w:b/>
          <w:bCs/>
          <w:color w:val="365F91" w:themeColor="accent1" w:themeShade="BF"/>
          <w:sz w:val="28"/>
          <w:szCs w:val="28"/>
        </w:rPr>
        <w:t xml:space="preserve"> </w:t>
      </w:r>
      <w:r>
        <w:br/>
      </w:r>
      <w:r w:rsidRPr="25FA98E9">
        <w:rPr>
          <w:rFonts w:ascii="Calibri" w:eastAsia="Calibri" w:hAnsi="Calibri" w:cs="Calibri"/>
          <w:b/>
          <w:bCs/>
          <w:color w:val="365F91" w:themeColor="accent1" w:themeShade="BF"/>
          <w:sz w:val="28"/>
          <w:szCs w:val="28"/>
          <w:highlight w:val="lightGray"/>
        </w:rPr>
        <w:t>[Insert Company Logo Here]</w:t>
      </w:r>
      <w:r w:rsidRPr="25FA98E9">
        <w:rPr>
          <w:rFonts w:ascii="Calibri" w:eastAsia="Calibri" w:hAnsi="Calibri" w:cs="Calibri"/>
          <w:b/>
          <w:bCs/>
          <w:color w:val="365F91" w:themeColor="accent1" w:themeShade="BF"/>
          <w:sz w:val="28"/>
          <w:szCs w:val="28"/>
        </w:rPr>
        <w:t xml:space="preserve"> </w:t>
      </w:r>
      <w:r>
        <w:br/>
      </w:r>
      <w:r w:rsidRPr="25FA98E9">
        <w:rPr>
          <w:rFonts w:ascii="Calibri" w:eastAsia="Calibri" w:hAnsi="Calibri" w:cs="Calibri"/>
          <w:b/>
          <w:bCs/>
          <w:color w:val="365F91" w:themeColor="accent1" w:themeShade="BF"/>
          <w:sz w:val="28"/>
          <w:szCs w:val="28"/>
        </w:rPr>
        <w:t xml:space="preserve"> </w:t>
      </w:r>
    </w:p>
    <w:p w14:paraId="6DE2FA84" w14:textId="13B72107" w:rsidR="25FA98E9" w:rsidRDefault="25FA98E9" w:rsidP="25FA98E9">
      <w:pPr>
        <w:jc w:val="center"/>
        <w:rPr>
          <w:rFonts w:ascii="Calibri" w:eastAsia="Calibri" w:hAnsi="Calibri" w:cs="Calibri"/>
          <w:color w:val="365F91" w:themeColor="accent1" w:themeShade="BF"/>
          <w:sz w:val="28"/>
          <w:szCs w:val="28"/>
        </w:rPr>
      </w:pPr>
    </w:p>
    <w:p w14:paraId="1B7AC1AE" w14:textId="58D04AC2" w:rsidR="25FA98E9" w:rsidRDefault="25FA98E9" w:rsidP="25FA98E9">
      <w:pPr>
        <w:jc w:val="center"/>
        <w:rPr>
          <w:rFonts w:ascii="Calibri" w:eastAsia="Calibri" w:hAnsi="Calibri" w:cs="Calibri"/>
          <w:color w:val="365F91" w:themeColor="accent1" w:themeShade="BF"/>
          <w:sz w:val="28"/>
          <w:szCs w:val="28"/>
        </w:rPr>
      </w:pPr>
    </w:p>
    <w:p w14:paraId="71BD48C8" w14:textId="452F74C1" w:rsidR="25FA98E9" w:rsidRDefault="25FA98E9" w:rsidP="25FA98E9">
      <w:pPr>
        <w:jc w:val="center"/>
        <w:rPr>
          <w:rFonts w:ascii="Calibri" w:eastAsia="Calibri" w:hAnsi="Calibri" w:cs="Calibri"/>
          <w:color w:val="365F91" w:themeColor="accent1" w:themeShade="BF"/>
          <w:sz w:val="28"/>
          <w:szCs w:val="28"/>
        </w:rPr>
      </w:pPr>
    </w:p>
    <w:p w14:paraId="660BD8BD" w14:textId="0C64B39D" w:rsidR="25FA98E9" w:rsidRDefault="25FA98E9" w:rsidP="25FA98E9">
      <w:pPr>
        <w:jc w:val="center"/>
        <w:rPr>
          <w:rFonts w:ascii="Calibri" w:eastAsia="Calibri" w:hAnsi="Calibri" w:cs="Calibri"/>
          <w:color w:val="365F91" w:themeColor="accent1" w:themeShade="BF"/>
          <w:sz w:val="28"/>
          <w:szCs w:val="28"/>
        </w:rPr>
      </w:pPr>
    </w:p>
    <w:p w14:paraId="6244D182" w14:textId="409CE08F" w:rsidR="25FA98E9" w:rsidRDefault="25FA98E9" w:rsidP="25FA98E9">
      <w:pPr>
        <w:jc w:val="center"/>
        <w:rPr>
          <w:rFonts w:ascii="Calibri" w:eastAsia="Calibri" w:hAnsi="Calibri" w:cs="Calibri"/>
          <w:color w:val="365F91" w:themeColor="accent1" w:themeShade="BF"/>
          <w:sz w:val="28"/>
          <w:szCs w:val="28"/>
        </w:rPr>
      </w:pPr>
    </w:p>
    <w:p w14:paraId="2DC46410" w14:textId="01B71D27" w:rsidR="25FA98E9" w:rsidRDefault="25FA98E9" w:rsidP="25FA98E9">
      <w:pPr>
        <w:jc w:val="center"/>
        <w:rPr>
          <w:rFonts w:ascii="Calibri" w:eastAsia="Calibri" w:hAnsi="Calibri" w:cs="Calibri"/>
          <w:color w:val="365F91" w:themeColor="accent1" w:themeShade="BF"/>
          <w:sz w:val="28"/>
          <w:szCs w:val="28"/>
        </w:rPr>
      </w:pPr>
    </w:p>
    <w:p w14:paraId="032ADBA2" w14:textId="5CFC4138" w:rsidR="25FA98E9" w:rsidRDefault="25FA98E9" w:rsidP="25FA98E9">
      <w:pPr>
        <w:jc w:val="center"/>
        <w:rPr>
          <w:rFonts w:ascii="Calibri" w:eastAsia="Calibri" w:hAnsi="Calibri" w:cs="Calibri"/>
          <w:color w:val="365F91" w:themeColor="accent1" w:themeShade="BF"/>
          <w:sz w:val="28"/>
          <w:szCs w:val="28"/>
        </w:rPr>
      </w:pPr>
    </w:p>
    <w:p w14:paraId="6C28B57F" w14:textId="661347F3" w:rsidR="25FA98E9" w:rsidRDefault="25FA98E9" w:rsidP="25FA98E9">
      <w:pPr>
        <w:jc w:val="center"/>
        <w:rPr>
          <w:rFonts w:ascii="Calibri" w:eastAsia="Calibri" w:hAnsi="Calibri" w:cs="Calibri"/>
          <w:color w:val="365F91" w:themeColor="accent1" w:themeShade="BF"/>
          <w:sz w:val="28"/>
          <w:szCs w:val="28"/>
        </w:rPr>
      </w:pPr>
    </w:p>
    <w:p w14:paraId="6E962650" w14:textId="1E5F3C47" w:rsidR="104F024D" w:rsidRDefault="104F024D" w:rsidP="25FA98E9">
      <w:pPr>
        <w:jc w:val="center"/>
        <w:rPr>
          <w:rFonts w:ascii="Calibri" w:eastAsia="Calibri" w:hAnsi="Calibri" w:cs="Calibri"/>
          <w:color w:val="365F91" w:themeColor="accent1" w:themeShade="BF"/>
          <w:sz w:val="28"/>
          <w:szCs w:val="28"/>
        </w:rPr>
      </w:pPr>
      <w:r w:rsidRPr="25FA98E9">
        <w:rPr>
          <w:rFonts w:ascii="Calibri" w:eastAsia="Calibri" w:hAnsi="Calibri" w:cs="Calibri"/>
          <w:b/>
          <w:bCs/>
          <w:color w:val="365F91" w:themeColor="accent1" w:themeShade="BF"/>
          <w:sz w:val="28"/>
          <w:szCs w:val="28"/>
        </w:rPr>
        <w:t xml:space="preserve">  </w:t>
      </w:r>
    </w:p>
    <w:p w14:paraId="0E8E546F" w14:textId="06E51C0D" w:rsidR="104F024D" w:rsidRDefault="104F024D" w:rsidP="25FA98E9">
      <w:pPr>
        <w:jc w:val="center"/>
        <w:rPr>
          <w:rFonts w:ascii="Calibri" w:eastAsia="Calibri" w:hAnsi="Calibri" w:cs="Calibri"/>
          <w:color w:val="365F91" w:themeColor="accent1" w:themeShade="BF"/>
          <w:sz w:val="28"/>
          <w:szCs w:val="28"/>
        </w:rPr>
      </w:pPr>
      <w:r>
        <w:br/>
      </w:r>
      <w:r w:rsidRPr="25FA98E9">
        <w:rPr>
          <w:rFonts w:ascii="Calibri" w:eastAsia="Calibri" w:hAnsi="Calibri" w:cs="Calibri"/>
          <w:b/>
          <w:bCs/>
          <w:color w:val="365F91" w:themeColor="accent1" w:themeShade="BF"/>
          <w:sz w:val="28"/>
          <w:szCs w:val="28"/>
        </w:rPr>
        <w:t xml:space="preserve">Version: 1.0 </w:t>
      </w:r>
      <w:r>
        <w:br/>
      </w:r>
      <w:r w:rsidRPr="25FA98E9">
        <w:rPr>
          <w:rFonts w:ascii="Calibri" w:eastAsia="Calibri" w:hAnsi="Calibri" w:cs="Calibri"/>
          <w:b/>
          <w:bCs/>
          <w:color w:val="365F91" w:themeColor="accent1" w:themeShade="BF"/>
          <w:sz w:val="28"/>
          <w:szCs w:val="28"/>
        </w:rPr>
        <w:t xml:space="preserve">Effective Date: 05 February 2026 </w:t>
      </w:r>
      <w:r>
        <w:br/>
      </w:r>
      <w:r w:rsidRPr="25FA98E9">
        <w:rPr>
          <w:rFonts w:ascii="Calibri" w:eastAsia="Calibri" w:hAnsi="Calibri" w:cs="Calibri"/>
          <w:b/>
          <w:bCs/>
          <w:color w:val="365F91" w:themeColor="accent1" w:themeShade="BF"/>
          <w:sz w:val="28"/>
          <w:szCs w:val="28"/>
        </w:rPr>
        <w:t>Document Owner: Armand Slabbert</w:t>
      </w:r>
    </w:p>
    <w:p w14:paraId="46F75D4C" w14:textId="350F9045" w:rsidR="25FA98E9" w:rsidRPr="005A3416" w:rsidRDefault="005A3416" w:rsidP="005A3416">
      <w:pPr>
        <w:pStyle w:val="Title"/>
        <w:pBdr>
          <w:bottom w:val="single" w:sz="8" w:space="4" w:color="4F81BD"/>
        </w:pBdr>
        <w:rPr>
          <w:rFonts w:ascii="Calibri" w:eastAsia="Calibri" w:hAnsi="Calibri" w:cs="Calibri"/>
          <w:color w:val="17365D"/>
        </w:rPr>
      </w:pPr>
      <w:r w:rsidRPr="49FB4CCF">
        <w:rPr>
          <w:rFonts w:ascii="Calibri" w:eastAsia="Calibri" w:hAnsi="Calibri" w:cs="Calibri"/>
          <w:color w:val="17365D"/>
        </w:rPr>
        <w:lastRenderedPageBreak/>
        <w:t>STANDARD OPERATING PROCEDURE (SOP)</w:t>
      </w:r>
    </w:p>
    <w:p w14:paraId="27563E58" w14:textId="358E2D43" w:rsidR="00E45EA0" w:rsidRDefault="25FA98E9">
      <w:pPr>
        <w:pStyle w:val="Heading1"/>
      </w:pPr>
      <w:bookmarkStart w:id="0" w:name="_GoBack"/>
      <w:bookmarkEnd w:id="0"/>
      <w:r>
        <w:t>Controls &amp; Escalation</w:t>
      </w:r>
    </w:p>
    <w:p w14:paraId="09C489C7" w14:textId="77777777" w:rsidR="00E45EA0" w:rsidRDefault="00481631">
      <w:r>
        <w:t xml:space="preserve">This Standard </w:t>
      </w:r>
      <w:r>
        <w:t>Operating Procedure (SOP) defines the internal control framework and escalation protocols applicable across finance processes. The objective is to ensure that control breaches, material issues, and risks are identified early, escalated appropriately, and r</w:t>
      </w:r>
      <w:r>
        <w:t>esolved in a timely manner.</w:t>
      </w:r>
    </w:p>
    <w:p w14:paraId="2D4ACC3A" w14:textId="77777777" w:rsidR="00E45EA0" w:rsidRDefault="00481631">
      <w:pPr>
        <w:pStyle w:val="Heading2"/>
      </w:pPr>
      <w:r>
        <w:t>1. Purpose</w:t>
      </w:r>
    </w:p>
    <w:p w14:paraId="36997612" w14:textId="77777777" w:rsidR="00E45EA0" w:rsidRDefault="00481631">
      <w:r>
        <w:t>The purpose of this SOP is to establish clear control responsibilities and escalation pathways to support strong governance, accountability, and decision-making.</w:t>
      </w:r>
    </w:p>
    <w:p w14:paraId="2E3BAD62" w14:textId="77777777" w:rsidR="00E45EA0" w:rsidRDefault="00481631">
      <w:pPr>
        <w:pStyle w:val="Heading2"/>
      </w:pPr>
      <w:r>
        <w:t>2. Scope</w:t>
      </w:r>
    </w:p>
    <w:p w14:paraId="2EA634FC" w14:textId="77777777" w:rsidR="00E45EA0" w:rsidRDefault="00481631">
      <w:r>
        <w:t xml:space="preserve">This SOP applies to all finance processes and </w:t>
      </w:r>
      <w:r>
        <w:t>controls, including month-end close, reporting, tax, payroll, cash management, and audit activities.</w:t>
      </w:r>
    </w:p>
    <w:p w14:paraId="1AF777C8" w14:textId="77777777" w:rsidR="00E45EA0" w:rsidRDefault="00481631">
      <w:pPr>
        <w:pStyle w:val="Heading2"/>
      </w:pPr>
      <w:r>
        <w:t>3. Standards &amp; References</w:t>
      </w:r>
    </w:p>
    <w:p w14:paraId="3726159B" w14:textId="77777777" w:rsidR="00E45EA0" w:rsidRDefault="00481631">
      <w:r>
        <w:t>- COSO Internal Control Framework</w:t>
      </w:r>
      <w:r>
        <w:br/>
        <w:t>- King IV Report on Corporate Governance</w:t>
      </w:r>
      <w:r>
        <w:br/>
        <w:t>- Internal Financial Controls Framework</w:t>
      </w:r>
      <w:r>
        <w:br/>
        <w:t>- Delegation o</w:t>
      </w:r>
      <w:r>
        <w:t>f Authority Matrix</w:t>
      </w:r>
    </w:p>
    <w:p w14:paraId="6EA85D0D" w14:textId="77777777" w:rsidR="00E45EA0" w:rsidRDefault="00481631">
      <w:pPr>
        <w:pStyle w:val="Heading2"/>
      </w:pPr>
      <w:r>
        <w:t>4. Roles &amp; Responsibilities</w:t>
      </w:r>
    </w:p>
    <w:p w14:paraId="43DAE07E" w14:textId="77777777" w:rsidR="00E45EA0" w:rsidRDefault="00481631">
      <w:r>
        <w:t>Finance Manager:</w:t>
      </w:r>
      <w:r>
        <w:br/>
        <w:t>- Overall ownership of financial controls</w:t>
      </w:r>
      <w:r>
        <w:br/>
        <w:t>- Assessment of control effectiveness</w:t>
      </w:r>
      <w:r>
        <w:br/>
        <w:t>- Decision-making on escalated matters</w:t>
      </w:r>
      <w:r>
        <w:br/>
      </w:r>
      <w:r>
        <w:br/>
        <w:t>Finance Team:</w:t>
      </w:r>
      <w:r>
        <w:br/>
        <w:t>- Execution of day-to-day controls</w:t>
      </w:r>
      <w:r>
        <w:br/>
        <w:t>- Identification and re</w:t>
      </w:r>
      <w:r>
        <w:t>porting of control issues</w:t>
      </w:r>
      <w:r>
        <w:br/>
      </w:r>
      <w:r>
        <w:br/>
        <w:t>Senior Management / Directors:</w:t>
      </w:r>
      <w:r>
        <w:br/>
        <w:t>- Oversight of material risks and escalations</w:t>
      </w:r>
      <w:r>
        <w:br/>
        <w:t>- Approval of remediation actions</w:t>
      </w:r>
    </w:p>
    <w:p w14:paraId="7AE01067" w14:textId="77777777" w:rsidR="00E45EA0" w:rsidRDefault="00481631">
      <w:pPr>
        <w:pStyle w:val="Heading2"/>
      </w:pPr>
      <w:r>
        <w:t>5. Internal Controls Framework</w:t>
      </w:r>
    </w:p>
    <w:p w14:paraId="77339851" w14:textId="77777777" w:rsidR="00E45EA0" w:rsidRDefault="00481631">
      <w:r>
        <w:t>- Preventive controls to reduce risk before errors occur.</w:t>
      </w:r>
      <w:r>
        <w:br/>
        <w:t>- Detective controls to ident</w:t>
      </w:r>
      <w:r>
        <w:t>ify errors or irregularities.</w:t>
      </w:r>
      <w:r>
        <w:br/>
        <w:t>- Corrective controls to resolve identified issues.</w:t>
      </w:r>
      <w:r>
        <w:br/>
        <w:t>- Controls must be documented and consistently applied.</w:t>
      </w:r>
    </w:p>
    <w:p w14:paraId="5C44DCE5" w14:textId="77777777" w:rsidR="00E45EA0" w:rsidRDefault="00481631">
      <w:pPr>
        <w:pStyle w:val="Heading2"/>
      </w:pPr>
      <w:r>
        <w:t>6. Identification of Control Failures</w:t>
      </w:r>
    </w:p>
    <w:p w14:paraId="5ACF9B04" w14:textId="4F939A81" w:rsidR="00E45EA0" w:rsidRDefault="25FA98E9">
      <w:r>
        <w:t>- Identify control breaches, errors, or weaknesses.</w:t>
      </w:r>
      <w:r w:rsidR="00481631">
        <w:br/>
      </w:r>
      <w:r>
        <w:t xml:space="preserve">- Assess severity and potential </w:t>
      </w:r>
      <w:r w:rsidR="70E8BDEF">
        <w:t>impacts</w:t>
      </w:r>
      <w:r>
        <w:t>.</w:t>
      </w:r>
      <w:r w:rsidR="00481631">
        <w:br/>
      </w:r>
      <w:r>
        <w:t>- Determine whether the issue is operational, financial, or compliance-related.</w:t>
      </w:r>
    </w:p>
    <w:p w14:paraId="1967E1C6" w14:textId="77777777" w:rsidR="00E45EA0" w:rsidRDefault="00481631">
      <w:pPr>
        <w:pStyle w:val="Heading2"/>
      </w:pPr>
      <w:r>
        <w:t>7. Escalation Criteria</w:t>
      </w:r>
    </w:p>
    <w:p w14:paraId="02FD85E2" w14:textId="77777777" w:rsidR="00E45EA0" w:rsidRDefault="00481631">
      <w:r>
        <w:t>- Material financial misstatements.</w:t>
      </w:r>
      <w:r>
        <w:br/>
        <w:t>- Regulatory or statutory non-compliance.</w:t>
      </w:r>
      <w:r>
        <w:br/>
        <w:t>- Suspected fraud or misconduct.</w:t>
      </w:r>
      <w:r>
        <w:br/>
        <w:t>-</w:t>
      </w:r>
      <w:r>
        <w:t xml:space="preserve"> Repeated control failures.</w:t>
      </w:r>
    </w:p>
    <w:p w14:paraId="18833065" w14:textId="77777777" w:rsidR="00E45EA0" w:rsidRDefault="00481631">
      <w:pPr>
        <w:pStyle w:val="Heading2"/>
      </w:pPr>
      <w:r>
        <w:t>8. Escalation Process</w:t>
      </w:r>
    </w:p>
    <w:p w14:paraId="560D024E" w14:textId="77777777" w:rsidR="00E45EA0" w:rsidRDefault="00481631">
      <w:r>
        <w:t>- Document the issue and root cause.</w:t>
      </w:r>
      <w:r>
        <w:br/>
        <w:t>- Escalate to the Finance Manager immediately.</w:t>
      </w:r>
      <w:r>
        <w:br/>
        <w:t>- Escalate to senior management or directors where material.</w:t>
      </w:r>
      <w:r>
        <w:br/>
        <w:t>- Agree remediation actions and timelines.</w:t>
      </w:r>
    </w:p>
    <w:p w14:paraId="61A3FDCB" w14:textId="77777777" w:rsidR="00E45EA0" w:rsidRDefault="00481631">
      <w:pPr>
        <w:pStyle w:val="Heading2"/>
      </w:pPr>
      <w:r>
        <w:t>9. Monitoring &amp; Re</w:t>
      </w:r>
      <w:r>
        <w:t>mediation</w:t>
      </w:r>
    </w:p>
    <w:p w14:paraId="3C41665B" w14:textId="77777777" w:rsidR="00E45EA0" w:rsidRDefault="00481631">
      <w:r>
        <w:t>- Track escalated issues to resolution.</w:t>
      </w:r>
      <w:r>
        <w:br/>
        <w:t>- Implement corrective actions.</w:t>
      </w:r>
      <w:r>
        <w:br/>
        <w:t>- Review controls to prevent recurrence.</w:t>
      </w:r>
    </w:p>
    <w:p w14:paraId="2F6F35BC" w14:textId="77777777" w:rsidR="00E45EA0" w:rsidRDefault="00481631">
      <w:pPr>
        <w:pStyle w:val="Heading2"/>
      </w:pPr>
      <w:r>
        <w:t>10. Documentation &amp; Record Keeping</w:t>
      </w:r>
    </w:p>
    <w:p w14:paraId="3FE2CFD4" w14:textId="77777777" w:rsidR="00E45EA0" w:rsidRDefault="00481631">
      <w:r>
        <w:t xml:space="preserve">Maintain records of control issues, escalations, decisions, and remediation actions for audit and </w:t>
      </w:r>
      <w:r>
        <w:t>governance purposes.</w:t>
      </w:r>
    </w:p>
    <w:p w14:paraId="220522D3" w14:textId="77777777" w:rsidR="00E45EA0" w:rsidRDefault="00481631">
      <w:pPr>
        <w:pStyle w:val="Heading2"/>
      </w:pPr>
      <w:r>
        <w:t>11. Compliance Monitoring &amp; Audits</w:t>
      </w:r>
    </w:p>
    <w:p w14:paraId="1194C952" w14:textId="77777777" w:rsidR="00E45EA0" w:rsidRDefault="00481631">
      <w:r>
        <w:t>Compliance with this SOP is monitored through internal reviews, management oversight, and external audits.</w:t>
      </w:r>
    </w:p>
    <w:p w14:paraId="64691EFB" w14:textId="77777777" w:rsidR="00E45EA0" w:rsidRDefault="00481631">
      <w:pPr>
        <w:pStyle w:val="Heading2"/>
      </w:pPr>
      <w:r>
        <w:t>12. Review &amp; Update</w:t>
      </w:r>
    </w:p>
    <w:p w14:paraId="13FDBD52" w14:textId="77777777" w:rsidR="00E45EA0" w:rsidRDefault="00481631">
      <w:r>
        <w:t>This SOP must be reviewed annually or upon changes to governance requirem</w:t>
      </w:r>
      <w:r>
        <w:t>ents, risk profile, or internal controls.</w:t>
      </w:r>
    </w:p>
    <w:sectPr w:rsidR="00E45EA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638FE6" w14:textId="77777777" w:rsidR="00481631" w:rsidRDefault="00481631">
      <w:pPr>
        <w:spacing w:after="0" w:line="240" w:lineRule="auto"/>
      </w:pPr>
      <w:r>
        <w:separator/>
      </w:r>
    </w:p>
  </w:endnote>
  <w:endnote w:type="continuationSeparator" w:id="0">
    <w:p w14:paraId="431741A8" w14:textId="77777777" w:rsidR="00481631" w:rsidRDefault="00481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25FA98E9" w14:paraId="4D413688" w14:textId="77777777" w:rsidTr="25FA98E9">
      <w:trPr>
        <w:trHeight w:val="300"/>
      </w:trPr>
      <w:tc>
        <w:tcPr>
          <w:tcW w:w="3120" w:type="dxa"/>
        </w:tcPr>
        <w:p w14:paraId="45ECF69A" w14:textId="4DD8E759" w:rsidR="25FA98E9" w:rsidRDefault="25FA98E9" w:rsidP="25FA98E9">
          <w:pPr>
            <w:pStyle w:val="Header"/>
            <w:ind w:left="-115"/>
          </w:pPr>
        </w:p>
      </w:tc>
      <w:tc>
        <w:tcPr>
          <w:tcW w:w="3120" w:type="dxa"/>
        </w:tcPr>
        <w:p w14:paraId="6D686430" w14:textId="122CF4D5" w:rsidR="25FA98E9" w:rsidRDefault="25FA98E9" w:rsidP="25FA98E9">
          <w:pPr>
            <w:pStyle w:val="Header"/>
            <w:jc w:val="center"/>
          </w:pPr>
          <w:r>
            <w:fldChar w:fldCharType="begin"/>
          </w:r>
          <w:r>
            <w:instrText>PAGE</w:instrText>
          </w:r>
          <w:r w:rsidR="005A3416">
            <w:fldChar w:fldCharType="separate"/>
          </w:r>
          <w:r w:rsidR="00481631">
            <w:rPr>
              <w:noProof/>
            </w:rPr>
            <w:t>1</w:t>
          </w:r>
          <w:r>
            <w:fldChar w:fldCharType="end"/>
          </w:r>
        </w:p>
      </w:tc>
      <w:tc>
        <w:tcPr>
          <w:tcW w:w="3120" w:type="dxa"/>
        </w:tcPr>
        <w:p w14:paraId="143D36E5" w14:textId="2A3B74AD" w:rsidR="25FA98E9" w:rsidRDefault="25FA98E9" w:rsidP="25FA98E9">
          <w:pPr>
            <w:pStyle w:val="Header"/>
            <w:ind w:right="-115"/>
            <w:jc w:val="right"/>
          </w:pPr>
        </w:p>
      </w:tc>
    </w:tr>
  </w:tbl>
  <w:p w14:paraId="5EC5FBA8" w14:textId="540E0B5E" w:rsidR="25FA98E9" w:rsidRDefault="25FA98E9" w:rsidP="25FA98E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75291" w14:textId="77777777" w:rsidR="00481631" w:rsidRDefault="00481631">
      <w:pPr>
        <w:spacing w:after="0" w:line="240" w:lineRule="auto"/>
      </w:pPr>
      <w:r>
        <w:separator/>
      </w:r>
    </w:p>
  </w:footnote>
  <w:footnote w:type="continuationSeparator" w:id="0">
    <w:p w14:paraId="70D4DFE2" w14:textId="77777777" w:rsidR="00481631" w:rsidRDefault="0048163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25FA98E9" w14:paraId="1F1E6CD4" w14:textId="77777777" w:rsidTr="25FA98E9">
      <w:trPr>
        <w:trHeight w:val="300"/>
      </w:trPr>
      <w:tc>
        <w:tcPr>
          <w:tcW w:w="3120" w:type="dxa"/>
        </w:tcPr>
        <w:p w14:paraId="1B892815" w14:textId="719FFEEB" w:rsidR="25FA98E9" w:rsidRDefault="25FA98E9" w:rsidP="25FA98E9">
          <w:pPr>
            <w:pStyle w:val="Header"/>
            <w:ind w:left="-115"/>
          </w:pPr>
        </w:p>
      </w:tc>
      <w:tc>
        <w:tcPr>
          <w:tcW w:w="3120" w:type="dxa"/>
        </w:tcPr>
        <w:p w14:paraId="1E444478" w14:textId="10A887B5" w:rsidR="25FA98E9" w:rsidRDefault="25FA98E9" w:rsidP="25FA98E9">
          <w:pPr>
            <w:pStyle w:val="Header"/>
            <w:jc w:val="center"/>
          </w:pPr>
        </w:p>
      </w:tc>
      <w:tc>
        <w:tcPr>
          <w:tcW w:w="3120" w:type="dxa"/>
        </w:tcPr>
        <w:p w14:paraId="3FB1A478" w14:textId="23212950" w:rsidR="25FA98E9" w:rsidRDefault="25FA98E9" w:rsidP="25FA98E9">
          <w:pPr>
            <w:pStyle w:val="Header"/>
            <w:ind w:right="-115"/>
            <w:jc w:val="right"/>
          </w:pPr>
        </w:p>
      </w:tc>
    </w:tr>
  </w:tbl>
  <w:p w14:paraId="3FD52E65" w14:textId="4946E485" w:rsidR="25FA98E9" w:rsidRDefault="25FA98E9" w:rsidP="25FA98E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60"/>
  <w:documentProtection w:edit="readOnly" w:enforcement="1" w:cryptProviderType="rsaFull" w:cryptAlgorithmClass="hash" w:cryptAlgorithmType="typeAny" w:cryptAlgorithmSid="4" w:cryptSpinCount="100000" w:hash="JO5KyVuN31fGR0yI77KdpKABYsM=" w:salt="n4BJCV9MLsdTW8x0tV2h+g=="/>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1631"/>
    <w:rsid w:val="005A3416"/>
    <w:rsid w:val="0076077D"/>
    <w:rsid w:val="00AA1D8D"/>
    <w:rsid w:val="00B47730"/>
    <w:rsid w:val="00CB0664"/>
    <w:rsid w:val="00E45EA0"/>
    <w:rsid w:val="00FC693F"/>
    <w:rsid w:val="0B9D0730"/>
    <w:rsid w:val="104F024D"/>
    <w:rsid w:val="25FA98E9"/>
    <w:rsid w:val="70E8BDE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0853E0-0FA0-4A83-8CAB-3BFB3E2D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749CD-2927-E646-BB07-58F35C816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426</Words>
  <Characters>2430</Characters>
  <Application>Microsoft Macintosh Word</Application>
  <DocSecurity>10</DocSecurity>
  <Lines>20</Lines>
  <Paragraphs>5</Paragraphs>
  <ScaleCrop>false</ScaleCrop>
  <Manager/>
  <Company/>
  <LinksUpToDate>false</LinksUpToDate>
  <CharactersWithSpaces>2851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armandslabbert@gmail.com</cp:lastModifiedBy>
  <cp:revision>4</cp:revision>
  <dcterms:created xsi:type="dcterms:W3CDTF">2013-12-23T23:15:00Z</dcterms:created>
  <dcterms:modified xsi:type="dcterms:W3CDTF">2026-02-06T16:31:00Z</dcterms:modified>
  <cp:category/>
</cp:coreProperties>
</file>