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E203CF0" w14:textId="573FE748" w:rsidR="507C7B20" w:rsidRDefault="507C7B20" w:rsidP="507C7B20">
      <w:pPr>
        <w:jc w:val="center"/>
        <w:rPr>
          <w:rFonts w:ascii="Calibri" w:eastAsia="Calibri" w:hAnsi="Calibri" w:cs="Calibri"/>
          <w:color w:val="365F91" w:themeColor="accent1" w:themeShade="BF"/>
          <w:sz w:val="56"/>
          <w:szCs w:val="56"/>
        </w:rPr>
      </w:pPr>
      <w:bookmarkStart w:id="0" w:name="_GoBack"/>
      <w:bookmarkEnd w:id="0"/>
    </w:p>
    <w:p w14:paraId="5C1AC7A4" w14:textId="14A807A7" w:rsidR="0BA9803F" w:rsidRDefault="0BA9803F" w:rsidP="507C7B20">
      <w:pPr>
        <w:jc w:val="center"/>
        <w:rPr>
          <w:rFonts w:ascii="Calibri" w:eastAsia="Calibri" w:hAnsi="Calibri" w:cs="Calibri"/>
          <w:color w:val="365F91" w:themeColor="accent1" w:themeShade="BF"/>
          <w:sz w:val="56"/>
          <w:szCs w:val="56"/>
        </w:rPr>
      </w:pPr>
      <w:r w:rsidRPr="507C7B20">
        <w:rPr>
          <w:rFonts w:ascii="Calibri" w:eastAsia="Calibri" w:hAnsi="Calibri" w:cs="Calibri"/>
          <w:b/>
          <w:bCs/>
          <w:color w:val="365F91" w:themeColor="accent1" w:themeShade="BF"/>
          <w:sz w:val="56"/>
          <w:szCs w:val="56"/>
          <w:highlight w:val="lightGray"/>
        </w:rPr>
        <w:t>COMPANY NAME</w:t>
      </w:r>
      <w:r w:rsidRPr="507C7B20">
        <w:rPr>
          <w:rFonts w:ascii="Calibri" w:eastAsia="Calibri" w:hAnsi="Calibri" w:cs="Calibri"/>
          <w:b/>
          <w:bCs/>
          <w:color w:val="365F91" w:themeColor="accent1" w:themeShade="BF"/>
          <w:sz w:val="56"/>
          <w:szCs w:val="56"/>
        </w:rPr>
        <w:t xml:space="preserve"> </w:t>
      </w:r>
      <w:r>
        <w:br/>
      </w:r>
    </w:p>
    <w:p w14:paraId="4C2E9DC4" w14:textId="03038A5D" w:rsidR="0BA9803F" w:rsidRDefault="0BA9803F" w:rsidP="507C7B20">
      <w:pPr>
        <w:jc w:val="center"/>
        <w:rPr>
          <w:rFonts w:ascii="Calibri" w:eastAsia="Calibri" w:hAnsi="Calibri" w:cs="Calibri"/>
          <w:color w:val="365F91" w:themeColor="accent1" w:themeShade="BF"/>
          <w:sz w:val="28"/>
          <w:szCs w:val="28"/>
        </w:rPr>
      </w:pPr>
      <w:r w:rsidRPr="507C7B20">
        <w:rPr>
          <w:rFonts w:ascii="Calibri" w:eastAsia="Calibri" w:hAnsi="Calibri" w:cs="Calibri"/>
          <w:b/>
          <w:bCs/>
          <w:color w:val="365F91" w:themeColor="accent1" w:themeShade="BF"/>
          <w:sz w:val="28"/>
          <w:szCs w:val="28"/>
        </w:rPr>
        <w:t xml:space="preserve"> </w:t>
      </w:r>
      <w:r>
        <w:br/>
      </w:r>
      <w:r w:rsidRPr="507C7B20">
        <w:rPr>
          <w:rFonts w:ascii="Calibri" w:eastAsia="Calibri" w:hAnsi="Calibri" w:cs="Calibri"/>
          <w:b/>
          <w:bCs/>
          <w:color w:val="365F91" w:themeColor="accent1" w:themeShade="BF"/>
          <w:sz w:val="40"/>
          <w:szCs w:val="40"/>
          <w:u w:val="single"/>
        </w:rPr>
        <w:t>SOP 10 – Document Retention &amp; Audit Evidence</w:t>
      </w:r>
      <w:r>
        <w:br/>
      </w:r>
      <w:r w:rsidRPr="507C7B20">
        <w:rPr>
          <w:rFonts w:ascii="Calibri" w:eastAsia="Calibri" w:hAnsi="Calibri" w:cs="Calibri"/>
          <w:b/>
          <w:bCs/>
          <w:color w:val="365F91" w:themeColor="accent1" w:themeShade="BF"/>
          <w:sz w:val="28"/>
          <w:szCs w:val="28"/>
        </w:rPr>
        <w:t xml:space="preserve">STANDARD OPERATING PROCEDURE (SOP) </w:t>
      </w:r>
      <w:r>
        <w:br/>
      </w:r>
      <w:r w:rsidRPr="507C7B20">
        <w:rPr>
          <w:rFonts w:ascii="Calibri" w:eastAsia="Calibri" w:hAnsi="Calibri" w:cs="Calibri"/>
          <w:b/>
          <w:bCs/>
          <w:color w:val="365F91" w:themeColor="accent1" w:themeShade="BF"/>
          <w:sz w:val="28"/>
          <w:szCs w:val="28"/>
        </w:rPr>
        <w:t xml:space="preserve"> </w:t>
      </w:r>
    </w:p>
    <w:p w14:paraId="36F6A65D" w14:textId="1789737B" w:rsidR="0BA9803F" w:rsidRDefault="0BA9803F" w:rsidP="507C7B20">
      <w:pPr>
        <w:jc w:val="center"/>
        <w:rPr>
          <w:rFonts w:ascii="Calibri" w:eastAsia="Calibri" w:hAnsi="Calibri" w:cs="Calibri"/>
          <w:color w:val="365F91" w:themeColor="accent1" w:themeShade="BF"/>
          <w:sz w:val="28"/>
          <w:szCs w:val="28"/>
        </w:rPr>
      </w:pPr>
      <w:r w:rsidRPr="507C7B20">
        <w:rPr>
          <w:rFonts w:ascii="Calibri" w:eastAsia="Calibri" w:hAnsi="Calibri" w:cs="Calibri"/>
          <w:b/>
          <w:bCs/>
          <w:color w:val="365F91" w:themeColor="accent1" w:themeShade="BF"/>
          <w:sz w:val="28"/>
          <w:szCs w:val="28"/>
        </w:rPr>
        <w:t xml:space="preserve"> </w:t>
      </w:r>
      <w:r>
        <w:br/>
      </w:r>
      <w:r w:rsidRPr="507C7B20">
        <w:rPr>
          <w:rFonts w:ascii="Calibri" w:eastAsia="Calibri" w:hAnsi="Calibri" w:cs="Calibri"/>
          <w:b/>
          <w:bCs/>
          <w:color w:val="365F91" w:themeColor="accent1" w:themeShade="BF"/>
          <w:sz w:val="28"/>
          <w:szCs w:val="28"/>
          <w:highlight w:val="lightGray"/>
        </w:rPr>
        <w:t>[Insert Company Logo Here]</w:t>
      </w:r>
      <w:r w:rsidRPr="507C7B20">
        <w:rPr>
          <w:rFonts w:ascii="Calibri" w:eastAsia="Calibri" w:hAnsi="Calibri" w:cs="Calibri"/>
          <w:b/>
          <w:bCs/>
          <w:color w:val="365F91" w:themeColor="accent1" w:themeShade="BF"/>
          <w:sz w:val="28"/>
          <w:szCs w:val="28"/>
        </w:rPr>
        <w:t xml:space="preserve"> </w:t>
      </w:r>
      <w:r>
        <w:br/>
      </w:r>
      <w:r w:rsidRPr="507C7B20">
        <w:rPr>
          <w:rFonts w:ascii="Calibri" w:eastAsia="Calibri" w:hAnsi="Calibri" w:cs="Calibri"/>
          <w:b/>
          <w:bCs/>
          <w:color w:val="365F91" w:themeColor="accent1" w:themeShade="BF"/>
          <w:sz w:val="28"/>
          <w:szCs w:val="28"/>
        </w:rPr>
        <w:t xml:space="preserve"> </w:t>
      </w:r>
    </w:p>
    <w:p w14:paraId="0C62D76A" w14:textId="0D90134E" w:rsidR="507C7B20" w:rsidRDefault="507C7B20" w:rsidP="507C7B20">
      <w:pPr>
        <w:jc w:val="center"/>
        <w:rPr>
          <w:rFonts w:ascii="Calibri" w:eastAsia="Calibri" w:hAnsi="Calibri" w:cs="Calibri"/>
          <w:color w:val="365F91" w:themeColor="accent1" w:themeShade="BF"/>
          <w:sz w:val="28"/>
          <w:szCs w:val="28"/>
        </w:rPr>
      </w:pPr>
    </w:p>
    <w:p w14:paraId="2115A12D" w14:textId="7610BF76" w:rsidR="507C7B20" w:rsidRDefault="507C7B20" w:rsidP="507C7B20">
      <w:pPr>
        <w:jc w:val="center"/>
        <w:rPr>
          <w:rFonts w:ascii="Calibri" w:eastAsia="Calibri" w:hAnsi="Calibri" w:cs="Calibri"/>
          <w:color w:val="365F91" w:themeColor="accent1" w:themeShade="BF"/>
          <w:sz w:val="28"/>
          <w:szCs w:val="28"/>
        </w:rPr>
      </w:pPr>
    </w:p>
    <w:p w14:paraId="62DE13DE" w14:textId="6F7A50C3" w:rsidR="507C7B20" w:rsidRDefault="507C7B20" w:rsidP="507C7B20">
      <w:pPr>
        <w:jc w:val="center"/>
        <w:rPr>
          <w:rFonts w:ascii="Calibri" w:eastAsia="Calibri" w:hAnsi="Calibri" w:cs="Calibri"/>
          <w:color w:val="365F91" w:themeColor="accent1" w:themeShade="BF"/>
          <w:sz w:val="28"/>
          <w:szCs w:val="28"/>
        </w:rPr>
      </w:pPr>
    </w:p>
    <w:p w14:paraId="0F2D08C9" w14:textId="31616979" w:rsidR="507C7B20" w:rsidRDefault="507C7B20" w:rsidP="507C7B20">
      <w:pPr>
        <w:jc w:val="center"/>
        <w:rPr>
          <w:rFonts w:ascii="Calibri" w:eastAsia="Calibri" w:hAnsi="Calibri" w:cs="Calibri"/>
          <w:color w:val="365F91" w:themeColor="accent1" w:themeShade="BF"/>
          <w:sz w:val="28"/>
          <w:szCs w:val="28"/>
        </w:rPr>
      </w:pPr>
    </w:p>
    <w:p w14:paraId="6D301C13" w14:textId="783875E2" w:rsidR="507C7B20" w:rsidRDefault="507C7B20" w:rsidP="507C7B20">
      <w:pPr>
        <w:jc w:val="center"/>
        <w:rPr>
          <w:rFonts w:ascii="Calibri" w:eastAsia="Calibri" w:hAnsi="Calibri" w:cs="Calibri"/>
          <w:color w:val="365F91" w:themeColor="accent1" w:themeShade="BF"/>
          <w:sz w:val="28"/>
          <w:szCs w:val="28"/>
        </w:rPr>
      </w:pPr>
    </w:p>
    <w:p w14:paraId="24343647" w14:textId="4BFDBA39" w:rsidR="507C7B20" w:rsidRDefault="507C7B20" w:rsidP="507C7B20">
      <w:pPr>
        <w:jc w:val="center"/>
        <w:rPr>
          <w:rFonts w:ascii="Calibri" w:eastAsia="Calibri" w:hAnsi="Calibri" w:cs="Calibri"/>
          <w:color w:val="365F91" w:themeColor="accent1" w:themeShade="BF"/>
          <w:sz w:val="28"/>
          <w:szCs w:val="28"/>
        </w:rPr>
      </w:pPr>
    </w:p>
    <w:p w14:paraId="3620B6B4" w14:textId="3C295A8B" w:rsidR="507C7B20" w:rsidRDefault="507C7B20" w:rsidP="507C7B20">
      <w:pPr>
        <w:jc w:val="center"/>
        <w:rPr>
          <w:rFonts w:ascii="Calibri" w:eastAsia="Calibri" w:hAnsi="Calibri" w:cs="Calibri"/>
          <w:color w:val="365F91" w:themeColor="accent1" w:themeShade="BF"/>
          <w:sz w:val="28"/>
          <w:szCs w:val="28"/>
        </w:rPr>
      </w:pPr>
    </w:p>
    <w:p w14:paraId="1F275202" w14:textId="4A4C9262" w:rsidR="507C7B20" w:rsidRDefault="507C7B20" w:rsidP="507C7B20">
      <w:pPr>
        <w:jc w:val="center"/>
        <w:rPr>
          <w:rFonts w:ascii="Calibri" w:eastAsia="Calibri" w:hAnsi="Calibri" w:cs="Calibri"/>
          <w:color w:val="365F91" w:themeColor="accent1" w:themeShade="BF"/>
          <w:sz w:val="28"/>
          <w:szCs w:val="28"/>
        </w:rPr>
      </w:pPr>
    </w:p>
    <w:p w14:paraId="4CB8C8FD" w14:textId="165EC7AA" w:rsidR="507C7B20" w:rsidRDefault="507C7B20" w:rsidP="507C7B20">
      <w:pPr>
        <w:jc w:val="center"/>
        <w:rPr>
          <w:rFonts w:ascii="Calibri" w:eastAsia="Calibri" w:hAnsi="Calibri" w:cs="Calibri"/>
          <w:color w:val="365F91" w:themeColor="accent1" w:themeShade="BF"/>
          <w:sz w:val="28"/>
          <w:szCs w:val="28"/>
        </w:rPr>
      </w:pPr>
    </w:p>
    <w:p w14:paraId="2D5331EA" w14:textId="26E5329B" w:rsidR="0BA9803F" w:rsidRDefault="0BA9803F" w:rsidP="507C7B20">
      <w:pPr>
        <w:jc w:val="center"/>
        <w:rPr>
          <w:rFonts w:ascii="Calibri" w:eastAsia="Calibri" w:hAnsi="Calibri" w:cs="Calibri"/>
          <w:color w:val="365F91" w:themeColor="accent1" w:themeShade="BF"/>
          <w:sz w:val="28"/>
          <w:szCs w:val="28"/>
        </w:rPr>
      </w:pPr>
      <w:r>
        <w:br/>
      </w:r>
      <w:r w:rsidRPr="507C7B20">
        <w:rPr>
          <w:rFonts w:ascii="Calibri" w:eastAsia="Calibri" w:hAnsi="Calibri" w:cs="Calibri"/>
          <w:b/>
          <w:bCs/>
          <w:color w:val="365F91" w:themeColor="accent1" w:themeShade="BF"/>
          <w:sz w:val="28"/>
          <w:szCs w:val="28"/>
        </w:rPr>
        <w:t xml:space="preserve">Version: 1.0 </w:t>
      </w:r>
      <w:r>
        <w:br/>
      </w:r>
      <w:r w:rsidRPr="507C7B20">
        <w:rPr>
          <w:rFonts w:ascii="Calibri" w:eastAsia="Calibri" w:hAnsi="Calibri" w:cs="Calibri"/>
          <w:b/>
          <w:bCs/>
          <w:color w:val="365F91" w:themeColor="accent1" w:themeShade="BF"/>
          <w:sz w:val="28"/>
          <w:szCs w:val="28"/>
        </w:rPr>
        <w:t xml:space="preserve">Effective Date: 05 February 2026 </w:t>
      </w:r>
      <w:r>
        <w:br/>
      </w:r>
      <w:r w:rsidRPr="507C7B20">
        <w:rPr>
          <w:rFonts w:ascii="Calibri" w:eastAsia="Calibri" w:hAnsi="Calibri" w:cs="Calibri"/>
          <w:b/>
          <w:bCs/>
          <w:color w:val="365F91" w:themeColor="accent1" w:themeShade="BF"/>
          <w:sz w:val="28"/>
          <w:szCs w:val="28"/>
        </w:rPr>
        <w:t>Document Owner: Armand Slabbert</w:t>
      </w:r>
    </w:p>
    <w:p w14:paraId="43FB59AD" w14:textId="3C137841" w:rsidR="3E11CF21" w:rsidRDefault="3E11CF21" w:rsidP="507C7B20">
      <w:pPr>
        <w:pStyle w:val="Title"/>
        <w:pBdr>
          <w:bottom w:val="single" w:sz="8" w:space="4" w:color="4F81BD"/>
        </w:pBdr>
        <w:rPr>
          <w:rFonts w:ascii="Calibri" w:eastAsia="Calibri" w:hAnsi="Calibri" w:cs="Calibri"/>
        </w:rPr>
      </w:pPr>
      <w:r w:rsidRPr="507C7B20">
        <w:rPr>
          <w:rFonts w:ascii="Calibri" w:eastAsia="Calibri" w:hAnsi="Calibri" w:cs="Calibri"/>
        </w:rPr>
        <w:lastRenderedPageBreak/>
        <w:t>STANDARD OPERATING PROCEDURE (SOP)</w:t>
      </w:r>
    </w:p>
    <w:p w14:paraId="7FB2140E" w14:textId="62EF23DC" w:rsidR="00F272FD" w:rsidRDefault="507C7B20">
      <w:pPr>
        <w:pStyle w:val="Heading1"/>
      </w:pPr>
      <w:r>
        <w:t>Document Retention &amp; Audit Evidence</w:t>
      </w:r>
    </w:p>
    <w:p w14:paraId="459D58A0" w14:textId="77777777" w:rsidR="00F272FD" w:rsidRDefault="005B22C0">
      <w:r>
        <w:t xml:space="preserve">This Standard Operating Procedure (SOP) defines the controls and procedures for document retention and the maintenance of audit evidence. The objective is to ensure that financial, tax, and operational records are </w:t>
      </w:r>
      <w:r>
        <w:t>retained, accessible, and audit-ready in accordance with statutory and internal requirements.</w:t>
      </w:r>
    </w:p>
    <w:p w14:paraId="2D4ACC3A" w14:textId="77777777" w:rsidR="00F272FD" w:rsidRDefault="005B22C0">
      <w:pPr>
        <w:pStyle w:val="Heading2"/>
      </w:pPr>
      <w:r>
        <w:t>1. Purpose</w:t>
      </w:r>
    </w:p>
    <w:p w14:paraId="24FE3F0E" w14:textId="77777777" w:rsidR="00F272FD" w:rsidRDefault="005B22C0">
      <w:r>
        <w:t>The purpose of this SOP is to establish a consistent framework for document retention and audit evidence management, supporting compliance, audit effic</w:t>
      </w:r>
      <w:r>
        <w:t>iency, and good governance.</w:t>
      </w:r>
    </w:p>
    <w:p w14:paraId="2E3BAD62" w14:textId="77777777" w:rsidR="00F272FD" w:rsidRDefault="005B22C0">
      <w:pPr>
        <w:pStyle w:val="Heading2"/>
      </w:pPr>
      <w:r>
        <w:t>2. Scope</w:t>
      </w:r>
    </w:p>
    <w:p w14:paraId="1B37945E" w14:textId="77777777" w:rsidR="00F272FD" w:rsidRDefault="005B22C0">
      <w:r>
        <w:t>This SOP applies to all financial, tax, payroll, operational, and governance documents, whether maintained electronically or in physical form.</w:t>
      </w:r>
    </w:p>
    <w:p w14:paraId="1AF777C8" w14:textId="77777777" w:rsidR="00F272FD" w:rsidRDefault="005B22C0">
      <w:pPr>
        <w:pStyle w:val="Heading2"/>
      </w:pPr>
      <w:r>
        <w:t>3. Standards &amp; References</w:t>
      </w:r>
    </w:p>
    <w:p w14:paraId="3758C321" w14:textId="77777777" w:rsidR="00F272FD" w:rsidRDefault="005B22C0">
      <w:r>
        <w:t>- Companies Act</w:t>
      </w:r>
      <w:r>
        <w:br/>
        <w:t>- Tax Administration Act</w:t>
      </w:r>
      <w:r>
        <w:br/>
        <w:t>- VAT Act</w:t>
      </w:r>
      <w:r>
        <w:br/>
        <w:t>- POPIA (where applicable)</w:t>
      </w:r>
      <w:r>
        <w:br/>
        <w:t>- IFRS &amp; auditing standards</w:t>
      </w:r>
      <w:r>
        <w:br/>
        <w:t>- Internal Governance Policies</w:t>
      </w:r>
    </w:p>
    <w:p w14:paraId="6EA85D0D" w14:textId="77777777" w:rsidR="00F272FD" w:rsidRDefault="005B22C0">
      <w:pPr>
        <w:pStyle w:val="Heading2"/>
      </w:pPr>
      <w:r>
        <w:t>4. Roles &amp; Responsibilities</w:t>
      </w:r>
    </w:p>
    <w:p w14:paraId="35E0E23D" w14:textId="77777777" w:rsidR="00F272FD" w:rsidRDefault="005B22C0">
      <w:r>
        <w:t>Finance Manager:</w:t>
      </w:r>
      <w:r>
        <w:br/>
        <w:t>- Overall ownership of document retention and audit evidence controls</w:t>
      </w:r>
      <w:r>
        <w:br/>
        <w:t>- Approval of retention schedules</w:t>
      </w:r>
      <w:r>
        <w:br/>
        <w:t xml:space="preserve">- Primary liaison </w:t>
      </w:r>
      <w:r>
        <w:t>with auditors</w:t>
      </w:r>
      <w:r>
        <w:br/>
      </w:r>
      <w:r>
        <w:br/>
        <w:t>Finance Team:</w:t>
      </w:r>
      <w:r>
        <w:br/>
        <w:t>- Maintenance of financial and tax records</w:t>
      </w:r>
      <w:r>
        <w:br/>
        <w:t>- Preparation of audit support files</w:t>
      </w:r>
      <w:r>
        <w:br/>
      </w:r>
      <w:r>
        <w:br/>
        <w:t>IT / Administration:</w:t>
      </w:r>
      <w:r>
        <w:br/>
        <w:t>- System access controls</w:t>
      </w:r>
      <w:r>
        <w:br/>
        <w:t>- Data backup and security</w:t>
      </w:r>
    </w:p>
    <w:p w14:paraId="1233C90A" w14:textId="77777777" w:rsidR="00F272FD" w:rsidRDefault="005B22C0">
      <w:pPr>
        <w:pStyle w:val="Heading2"/>
      </w:pPr>
      <w:r>
        <w:t>5. Document Retention Requirements</w:t>
      </w:r>
    </w:p>
    <w:p w14:paraId="216C8624" w14:textId="77777777" w:rsidR="00F272FD" w:rsidRDefault="005B22C0">
      <w:r>
        <w:t xml:space="preserve">- Financial records must be retained </w:t>
      </w:r>
      <w:r>
        <w:t>for the statutory minimum period.</w:t>
      </w:r>
      <w:r>
        <w:br/>
        <w:t>- Tax records must be retained in line with tax legislation.</w:t>
      </w:r>
      <w:r>
        <w:br/>
        <w:t>- Contracts and governance documents must be retained for their full validity period.</w:t>
      </w:r>
      <w:r>
        <w:br/>
        <w:t>- Retention periods must be reviewed periodically.</w:t>
      </w:r>
    </w:p>
    <w:p w14:paraId="4B6D6C52" w14:textId="77777777" w:rsidR="00F272FD" w:rsidRDefault="005B22C0">
      <w:pPr>
        <w:pStyle w:val="Heading2"/>
      </w:pPr>
      <w:r>
        <w:t>6. Audit Evidence Standa</w:t>
      </w:r>
      <w:r>
        <w:t>rds</w:t>
      </w:r>
    </w:p>
    <w:p w14:paraId="2F83B64A" w14:textId="77777777" w:rsidR="00F272FD" w:rsidRDefault="005B22C0">
      <w:r>
        <w:t>- Audit evidence must be complete, accurate, and traceable.</w:t>
      </w:r>
      <w:r>
        <w:br/>
        <w:t>- Evidence must support balances, transactions, and disclosures.</w:t>
      </w:r>
      <w:r>
        <w:br/>
        <w:t>- Clear cross-referencing to the general ledger must be maintained.</w:t>
      </w:r>
    </w:p>
    <w:p w14:paraId="07E8A561" w14:textId="77777777" w:rsidR="00F272FD" w:rsidRDefault="005B22C0">
      <w:pPr>
        <w:pStyle w:val="Heading2"/>
      </w:pPr>
      <w:r>
        <w:t>7. Storage &amp; Access Controls</w:t>
      </w:r>
    </w:p>
    <w:p w14:paraId="46B3530E" w14:textId="77777777" w:rsidR="00F272FD" w:rsidRDefault="005B22C0">
      <w:r>
        <w:t>- Documents must be stored sec</w:t>
      </w:r>
      <w:r>
        <w:t>urely with controlled access.</w:t>
      </w:r>
      <w:r>
        <w:br/>
        <w:t>- Electronic records must be backed up regularly.</w:t>
      </w:r>
      <w:r>
        <w:br/>
        <w:t>- Access rights must be reviewed periodically.</w:t>
      </w:r>
    </w:p>
    <w:p w14:paraId="565E77D0" w14:textId="77777777" w:rsidR="00F272FD" w:rsidRDefault="005B22C0">
      <w:pPr>
        <w:pStyle w:val="Heading2"/>
      </w:pPr>
      <w:r>
        <w:t>8. Audit Support Process</w:t>
      </w:r>
    </w:p>
    <w:p w14:paraId="621F51C3" w14:textId="77777777" w:rsidR="00F272FD" w:rsidRDefault="005B22C0">
      <w:r>
        <w:t>- Maintain a structured audit file (per financial year).</w:t>
      </w:r>
      <w:r>
        <w:br/>
        <w:t>- Track audit requests and responses.</w:t>
      </w:r>
      <w:r>
        <w:br/>
        <w:t xml:space="preserve">- Ensure </w:t>
      </w:r>
      <w:r>
        <w:t>timely provision of evidence to auditors.</w:t>
      </w:r>
    </w:p>
    <w:p w14:paraId="08111CD9" w14:textId="77777777" w:rsidR="00F272FD" w:rsidRDefault="005B22C0">
      <w:pPr>
        <w:pStyle w:val="Heading2"/>
      </w:pPr>
      <w:r>
        <w:t>9. Disposal of Records</w:t>
      </w:r>
    </w:p>
    <w:p w14:paraId="2507AFC7" w14:textId="77777777" w:rsidR="00F272FD" w:rsidRDefault="005B22C0">
      <w:r>
        <w:t>- Dispose of records securely after expiry of retention periods.</w:t>
      </w:r>
      <w:r>
        <w:br/>
        <w:t>- Ensure disposal complies with data protection requirements.</w:t>
      </w:r>
      <w:r>
        <w:br/>
        <w:t>- Document disposal approvals.</w:t>
      </w:r>
    </w:p>
    <w:p w14:paraId="62ABEE38" w14:textId="77777777" w:rsidR="00F272FD" w:rsidRDefault="005B22C0">
      <w:pPr>
        <w:pStyle w:val="Heading2"/>
      </w:pPr>
      <w:r>
        <w:t>10. Compliance Monitoring &amp; Audit</w:t>
      </w:r>
      <w:r>
        <w:t>s</w:t>
      </w:r>
    </w:p>
    <w:p w14:paraId="1349316E" w14:textId="77777777" w:rsidR="00F272FD" w:rsidRDefault="005B22C0">
      <w:r>
        <w:t>Compliance with this SOP is monitored through internal reviews, management oversight, and external audit processes.</w:t>
      </w:r>
    </w:p>
    <w:p w14:paraId="497E536C" w14:textId="77777777" w:rsidR="00F272FD" w:rsidRDefault="005B22C0">
      <w:pPr>
        <w:pStyle w:val="Heading2"/>
      </w:pPr>
      <w:r>
        <w:t>11. Review &amp; Update</w:t>
      </w:r>
    </w:p>
    <w:p w14:paraId="6D4CBB6D" w14:textId="77777777" w:rsidR="00F272FD" w:rsidRDefault="005B22C0">
      <w:r>
        <w:t>This SOP must be reviewed annually or upon changes to legislation, audit requirements, or internal policies.</w:t>
      </w:r>
    </w:p>
    <w:sectPr w:rsidR="00F272FD"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8923F92" w14:textId="77777777" w:rsidR="005B22C0" w:rsidRDefault="005B22C0">
      <w:pPr>
        <w:spacing w:after="0" w:line="240" w:lineRule="auto"/>
      </w:pPr>
      <w:r>
        <w:separator/>
      </w:r>
    </w:p>
  </w:endnote>
  <w:endnote w:type="continuationSeparator" w:id="0">
    <w:p w14:paraId="616B61AB" w14:textId="77777777" w:rsidR="005B22C0" w:rsidRDefault="005B22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ook w:val="06A0" w:firstRow="1" w:lastRow="0" w:firstColumn="1" w:lastColumn="0" w:noHBand="1" w:noVBand="1"/>
    </w:tblPr>
    <w:tblGrid>
      <w:gridCol w:w="3120"/>
      <w:gridCol w:w="3120"/>
      <w:gridCol w:w="3120"/>
    </w:tblGrid>
    <w:tr w:rsidR="507C7B20" w14:paraId="37EA2878" w14:textId="77777777" w:rsidTr="507C7B20">
      <w:trPr>
        <w:trHeight w:val="300"/>
      </w:trPr>
      <w:tc>
        <w:tcPr>
          <w:tcW w:w="3120" w:type="dxa"/>
        </w:tcPr>
        <w:p w14:paraId="4173AC30" w14:textId="666AE835" w:rsidR="507C7B20" w:rsidRDefault="507C7B20" w:rsidP="507C7B20">
          <w:pPr>
            <w:pStyle w:val="Header"/>
            <w:ind w:left="-115"/>
          </w:pPr>
        </w:p>
      </w:tc>
      <w:tc>
        <w:tcPr>
          <w:tcW w:w="3120" w:type="dxa"/>
        </w:tcPr>
        <w:p w14:paraId="32C55DAA" w14:textId="74591D72" w:rsidR="507C7B20" w:rsidRDefault="507C7B20" w:rsidP="507C7B20">
          <w:pPr>
            <w:pStyle w:val="Header"/>
            <w:jc w:val="center"/>
          </w:pPr>
          <w:r>
            <w:fldChar w:fldCharType="begin"/>
          </w:r>
          <w:r>
            <w:instrText>PAGE</w:instrText>
          </w:r>
          <w:r w:rsidR="00967EA0">
            <w:fldChar w:fldCharType="separate"/>
          </w:r>
          <w:r w:rsidR="005B22C0">
            <w:rPr>
              <w:noProof/>
            </w:rPr>
            <w:t>1</w:t>
          </w:r>
          <w:r>
            <w:fldChar w:fldCharType="end"/>
          </w:r>
        </w:p>
      </w:tc>
      <w:tc>
        <w:tcPr>
          <w:tcW w:w="3120" w:type="dxa"/>
        </w:tcPr>
        <w:p w14:paraId="6CF95D21" w14:textId="6FDE52D8" w:rsidR="507C7B20" w:rsidRDefault="507C7B20" w:rsidP="507C7B20">
          <w:pPr>
            <w:pStyle w:val="Header"/>
            <w:ind w:right="-115"/>
            <w:jc w:val="right"/>
          </w:pPr>
        </w:p>
      </w:tc>
    </w:tr>
  </w:tbl>
  <w:p w14:paraId="15BA24E9" w14:textId="0FF669E9" w:rsidR="507C7B20" w:rsidRDefault="507C7B20" w:rsidP="507C7B20">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7D01726" w14:textId="77777777" w:rsidR="005B22C0" w:rsidRDefault="005B22C0">
      <w:pPr>
        <w:spacing w:after="0" w:line="240" w:lineRule="auto"/>
      </w:pPr>
      <w:r>
        <w:separator/>
      </w:r>
    </w:p>
  </w:footnote>
  <w:footnote w:type="continuationSeparator" w:id="0">
    <w:p w14:paraId="5E7972C2" w14:textId="77777777" w:rsidR="005B22C0" w:rsidRDefault="005B22C0">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ook w:val="06A0" w:firstRow="1" w:lastRow="0" w:firstColumn="1" w:lastColumn="0" w:noHBand="1" w:noVBand="1"/>
    </w:tblPr>
    <w:tblGrid>
      <w:gridCol w:w="3120"/>
      <w:gridCol w:w="3120"/>
      <w:gridCol w:w="3120"/>
    </w:tblGrid>
    <w:tr w:rsidR="507C7B20" w14:paraId="5BFA56B2" w14:textId="77777777" w:rsidTr="507C7B20">
      <w:trPr>
        <w:trHeight w:val="300"/>
      </w:trPr>
      <w:tc>
        <w:tcPr>
          <w:tcW w:w="3120" w:type="dxa"/>
        </w:tcPr>
        <w:p w14:paraId="06540A76" w14:textId="5B67FCA2" w:rsidR="507C7B20" w:rsidRDefault="507C7B20" w:rsidP="507C7B20">
          <w:pPr>
            <w:pStyle w:val="Header"/>
            <w:ind w:left="-115"/>
          </w:pPr>
        </w:p>
      </w:tc>
      <w:tc>
        <w:tcPr>
          <w:tcW w:w="3120" w:type="dxa"/>
        </w:tcPr>
        <w:p w14:paraId="0936E2C0" w14:textId="13CFD820" w:rsidR="507C7B20" w:rsidRDefault="507C7B20" w:rsidP="507C7B20">
          <w:pPr>
            <w:pStyle w:val="Header"/>
            <w:jc w:val="center"/>
          </w:pPr>
        </w:p>
      </w:tc>
      <w:tc>
        <w:tcPr>
          <w:tcW w:w="3120" w:type="dxa"/>
        </w:tcPr>
        <w:p w14:paraId="7D8B929D" w14:textId="51D477E9" w:rsidR="507C7B20" w:rsidRDefault="507C7B20" w:rsidP="507C7B20">
          <w:pPr>
            <w:pStyle w:val="Header"/>
            <w:ind w:right="-115"/>
            <w:jc w:val="right"/>
          </w:pPr>
        </w:p>
      </w:tc>
    </w:tr>
  </w:tbl>
  <w:p w14:paraId="452600F4" w14:textId="6271DA92" w:rsidR="507C7B20" w:rsidRDefault="507C7B20" w:rsidP="507C7B20">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writeProtection w:recommended="1"/>
  <w:zoom w:percent="160"/>
  <w:documentProtection w:edit="readOnly" w:enforcement="1" w:cryptProviderType="rsaFull" w:cryptAlgorithmClass="hash" w:cryptAlgorithmType="typeAny" w:cryptAlgorithmSid="4" w:cryptSpinCount="100000" w:hash="zIJaPw/jjfUBZIgW/aKsNRuOtxo=" w:salt="DTvZ65A0SZ8vOLBTyfNd2A=="/>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B22C0"/>
    <w:rsid w:val="00967EA0"/>
    <w:rsid w:val="00AA1D8D"/>
    <w:rsid w:val="00B47730"/>
    <w:rsid w:val="00CB0664"/>
    <w:rsid w:val="00F272FD"/>
    <w:rsid w:val="00FC693F"/>
    <w:rsid w:val="0BA9803F"/>
    <w:rsid w:val="3E11CF21"/>
    <w:rsid w:val="507C7B20"/>
    <w:rsid w:val="5E86097E"/>
  </w:rsids>
  <m:mathPr>
    <m:mathFont m:val="Cambria Math"/>
    <m:brkBin m:val="before"/>
    <m:brkBinSub m:val="--"/>
    <m:smallFrac m:val="0"/>
    <m:dispDef/>
    <m:lMargin m:val="0"/>
    <m:rMargin m:val="0"/>
    <m:defJc m:val="centerGroup"/>
    <m:wrapIndent m:val="1440"/>
    <m:intLim m:val="subSup"/>
    <m:naryLim m:val="undOvr"/>
  </m:mathPr>
  <w:themeFontLang w:val="en-US" w:eastAsia="ja-JP" w:bidi="x-non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A1578CC-4604-4006-8242-74EE4F789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EAFEF9-044F-AF4F-AA2A-F94020DA56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417</Words>
  <Characters>2383</Characters>
  <Application>Microsoft Macintosh Word</Application>
  <DocSecurity>10</DocSecurity>
  <Lines>19</Lines>
  <Paragraphs>5</Paragraphs>
  <ScaleCrop>false</ScaleCrop>
  <Manager/>
  <Company/>
  <LinksUpToDate>false</LinksUpToDate>
  <CharactersWithSpaces>2795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armandslabbert@gmail.com</cp:lastModifiedBy>
  <cp:revision>3</cp:revision>
  <dcterms:created xsi:type="dcterms:W3CDTF">2013-12-23T23:15:00Z</dcterms:created>
  <dcterms:modified xsi:type="dcterms:W3CDTF">2026-02-06T16:29:00Z</dcterms:modified>
  <cp:category/>
</cp:coreProperties>
</file>