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57FC25" w14:textId="74117697" w:rsidR="00B2715B" w:rsidRDefault="00B2715B" w:rsidP="720F8758">
      <w:pPr>
        <w:jc w:val="center"/>
        <w:rPr>
          <w:rFonts w:ascii="Calibri" w:eastAsia="Calibri" w:hAnsi="Calibri" w:cs="Calibri"/>
          <w:b/>
          <w:bCs/>
          <w:color w:val="365F91" w:themeColor="accent1" w:themeShade="BF"/>
          <w:sz w:val="66"/>
          <w:szCs w:val="66"/>
          <w:highlight w:val="lightGray"/>
        </w:rPr>
      </w:pPr>
      <w:bookmarkStart w:id="0" w:name="_GoBack"/>
    </w:p>
    <w:bookmarkEnd w:id="0"/>
    <w:p w14:paraId="435748A0" w14:textId="1AD90E68" w:rsidR="00B2715B" w:rsidRDefault="25697E27" w:rsidP="3993AF67">
      <w:pPr>
        <w:jc w:val="center"/>
        <w:rPr>
          <w:rFonts w:ascii="Calibri" w:eastAsia="Calibri" w:hAnsi="Calibri" w:cs="Calibri"/>
          <w:color w:val="365F91" w:themeColor="accent1" w:themeShade="BF"/>
          <w:sz w:val="28"/>
          <w:szCs w:val="28"/>
        </w:rPr>
      </w:pPr>
      <w:r w:rsidRPr="3993AF67">
        <w:rPr>
          <w:rFonts w:ascii="Calibri" w:eastAsia="Calibri" w:hAnsi="Calibri" w:cs="Calibri"/>
          <w:b/>
          <w:bCs/>
          <w:color w:val="365F91" w:themeColor="accent1" w:themeShade="BF"/>
          <w:sz w:val="56"/>
          <w:szCs w:val="56"/>
          <w:highlight w:val="lightGray"/>
        </w:rPr>
        <w:t>COMPANY NAME</w:t>
      </w:r>
      <w:r w:rsidRPr="3993AF67">
        <w:rPr>
          <w:rFonts w:ascii="Calibri" w:eastAsia="Calibri" w:hAnsi="Calibri" w:cs="Calibri"/>
          <w:b/>
          <w:bCs/>
          <w:color w:val="365F91" w:themeColor="accent1" w:themeShade="BF"/>
          <w:sz w:val="56"/>
          <w:szCs w:val="56"/>
        </w:rPr>
        <w:t xml:space="preserve"> </w:t>
      </w:r>
      <w:r w:rsidR="00F54CD0">
        <w:br/>
      </w:r>
      <w:r w:rsidR="00F54CD0">
        <w:br/>
      </w:r>
      <w:r w:rsidRPr="3993AF67">
        <w:rPr>
          <w:rFonts w:ascii="Calibri" w:eastAsia="Calibri" w:hAnsi="Calibri" w:cs="Calibri"/>
          <w:b/>
          <w:bCs/>
          <w:color w:val="365F91" w:themeColor="accent1" w:themeShade="BF"/>
          <w:sz w:val="28"/>
          <w:szCs w:val="28"/>
        </w:rPr>
        <w:t xml:space="preserve"> </w:t>
      </w:r>
    </w:p>
    <w:p w14:paraId="4BDB95D5" w14:textId="01753D49" w:rsidR="00B2715B" w:rsidRDefault="00B2715B" w:rsidP="3993AF67">
      <w:pPr>
        <w:jc w:val="center"/>
        <w:rPr>
          <w:rFonts w:ascii="Calibri" w:eastAsia="Calibri" w:hAnsi="Calibri" w:cs="Calibri"/>
          <w:b/>
          <w:bCs/>
          <w:color w:val="365F91" w:themeColor="accent1" w:themeShade="BF"/>
          <w:sz w:val="28"/>
          <w:szCs w:val="28"/>
        </w:rPr>
      </w:pPr>
    </w:p>
    <w:p w14:paraId="480A9D58" w14:textId="23024B2D" w:rsidR="00B2715B" w:rsidRDefault="00B2715B" w:rsidP="720F8758">
      <w:pPr>
        <w:jc w:val="center"/>
        <w:rPr>
          <w:rFonts w:ascii="Calibri" w:eastAsia="Calibri" w:hAnsi="Calibri" w:cs="Calibri"/>
          <w:b/>
          <w:bCs/>
          <w:color w:val="365F91" w:themeColor="accent1" w:themeShade="BF"/>
          <w:sz w:val="24"/>
          <w:szCs w:val="24"/>
        </w:rPr>
      </w:pPr>
    </w:p>
    <w:p w14:paraId="67AD574F" w14:textId="1A09CE60" w:rsidR="720F8758" w:rsidRDefault="720F8758" w:rsidP="720F8758">
      <w:pPr>
        <w:jc w:val="center"/>
        <w:rPr>
          <w:rFonts w:ascii="Calibri" w:eastAsia="Calibri" w:hAnsi="Calibri" w:cs="Calibri"/>
          <w:b/>
          <w:bCs/>
          <w:color w:val="365F91" w:themeColor="accent1" w:themeShade="BF"/>
          <w:sz w:val="16"/>
          <w:szCs w:val="16"/>
        </w:rPr>
      </w:pPr>
    </w:p>
    <w:p w14:paraId="532DE290" w14:textId="67D4D8EA" w:rsidR="720F8758" w:rsidRDefault="720F8758" w:rsidP="720F8758">
      <w:pPr>
        <w:jc w:val="center"/>
        <w:rPr>
          <w:rFonts w:ascii="Calibri" w:eastAsia="Calibri" w:hAnsi="Calibri" w:cs="Calibri"/>
          <w:b/>
          <w:bCs/>
          <w:color w:val="365F91" w:themeColor="accent1" w:themeShade="BF"/>
          <w:sz w:val="12"/>
          <w:szCs w:val="12"/>
        </w:rPr>
      </w:pPr>
    </w:p>
    <w:p w14:paraId="2263982B" w14:textId="38791D6F" w:rsidR="00B2715B" w:rsidRDefault="25697E27" w:rsidP="3993AF67">
      <w:pPr>
        <w:jc w:val="center"/>
        <w:rPr>
          <w:rFonts w:ascii="Calibri" w:eastAsia="Calibri" w:hAnsi="Calibri" w:cs="Calibri"/>
          <w:color w:val="365F91" w:themeColor="accent1" w:themeShade="BF"/>
          <w:sz w:val="28"/>
          <w:szCs w:val="28"/>
        </w:rPr>
      </w:pPr>
      <w:r w:rsidRPr="3993AF67">
        <w:rPr>
          <w:rFonts w:ascii="Calibri" w:eastAsia="Calibri" w:hAnsi="Calibri" w:cs="Calibri"/>
          <w:b/>
          <w:bCs/>
          <w:color w:val="365F91" w:themeColor="accent1" w:themeShade="BF"/>
          <w:sz w:val="28"/>
          <w:szCs w:val="28"/>
        </w:rPr>
        <w:t xml:space="preserve"> </w:t>
      </w:r>
      <w:r w:rsidR="00F54CD0">
        <w:br/>
      </w:r>
      <w:r w:rsidRPr="3993AF67">
        <w:rPr>
          <w:rFonts w:ascii="Calibri" w:eastAsia="Calibri" w:hAnsi="Calibri" w:cs="Calibri"/>
          <w:b/>
          <w:bCs/>
          <w:color w:val="365F91" w:themeColor="accent1" w:themeShade="BF"/>
          <w:sz w:val="28"/>
          <w:szCs w:val="28"/>
          <w:highlight w:val="lightGray"/>
        </w:rPr>
        <w:t>[Insert Company Logo Here]</w:t>
      </w:r>
      <w:r w:rsidRPr="3993AF67">
        <w:rPr>
          <w:rFonts w:ascii="Calibri" w:eastAsia="Calibri" w:hAnsi="Calibri" w:cs="Calibri"/>
          <w:b/>
          <w:bCs/>
          <w:color w:val="365F91" w:themeColor="accent1" w:themeShade="BF"/>
          <w:sz w:val="28"/>
          <w:szCs w:val="28"/>
        </w:rPr>
        <w:t xml:space="preserve"> </w:t>
      </w:r>
      <w:r w:rsidR="00F54CD0">
        <w:br/>
      </w:r>
      <w:r w:rsidRPr="3993AF67">
        <w:rPr>
          <w:rFonts w:ascii="Calibri" w:eastAsia="Calibri" w:hAnsi="Calibri" w:cs="Calibri"/>
          <w:b/>
          <w:bCs/>
          <w:color w:val="365F91" w:themeColor="accent1" w:themeShade="BF"/>
          <w:sz w:val="28"/>
          <w:szCs w:val="28"/>
        </w:rPr>
        <w:t xml:space="preserve"> </w:t>
      </w:r>
    </w:p>
    <w:p w14:paraId="641F2C04" w14:textId="35DA0277" w:rsidR="00B2715B" w:rsidRDefault="00B2715B" w:rsidP="3993AF67">
      <w:pPr>
        <w:jc w:val="center"/>
        <w:rPr>
          <w:rFonts w:ascii="Calibri" w:eastAsia="Calibri" w:hAnsi="Calibri" w:cs="Calibri"/>
          <w:b/>
          <w:bCs/>
          <w:color w:val="365F91" w:themeColor="accent1" w:themeShade="BF"/>
          <w:sz w:val="28"/>
          <w:szCs w:val="28"/>
        </w:rPr>
      </w:pPr>
    </w:p>
    <w:p w14:paraId="36B744A0" w14:textId="2D6EB01D" w:rsidR="00B2715B" w:rsidRDefault="00B2715B" w:rsidP="3993AF67">
      <w:pPr>
        <w:jc w:val="center"/>
        <w:rPr>
          <w:rFonts w:ascii="Calibri" w:eastAsia="Calibri" w:hAnsi="Calibri" w:cs="Calibri"/>
          <w:b/>
          <w:bCs/>
          <w:color w:val="365F91" w:themeColor="accent1" w:themeShade="BF"/>
          <w:sz w:val="28"/>
          <w:szCs w:val="28"/>
        </w:rPr>
      </w:pPr>
    </w:p>
    <w:p w14:paraId="100E4D13" w14:textId="1F935C70" w:rsidR="00B2715B" w:rsidRDefault="00B2715B" w:rsidP="3993AF67">
      <w:pPr>
        <w:jc w:val="center"/>
        <w:rPr>
          <w:rFonts w:ascii="Calibri" w:eastAsia="Calibri" w:hAnsi="Calibri" w:cs="Calibri"/>
          <w:b/>
          <w:bCs/>
          <w:color w:val="365F91" w:themeColor="accent1" w:themeShade="BF"/>
          <w:sz w:val="28"/>
          <w:szCs w:val="28"/>
        </w:rPr>
      </w:pPr>
    </w:p>
    <w:p w14:paraId="503E7D64" w14:textId="049DE013" w:rsidR="00B2715B" w:rsidRDefault="25697E27" w:rsidP="3993AF67">
      <w:pPr>
        <w:jc w:val="center"/>
        <w:rPr>
          <w:rFonts w:ascii="Calibri" w:eastAsia="Calibri" w:hAnsi="Calibri" w:cs="Calibri"/>
          <w:color w:val="365F91" w:themeColor="accent1" w:themeShade="BF"/>
          <w:sz w:val="28"/>
          <w:szCs w:val="28"/>
        </w:rPr>
      </w:pPr>
      <w:r w:rsidRPr="3993AF67">
        <w:rPr>
          <w:rFonts w:ascii="Calibri" w:eastAsia="Calibri" w:hAnsi="Calibri" w:cs="Calibri"/>
          <w:b/>
          <w:bCs/>
          <w:color w:val="365F91" w:themeColor="accent1" w:themeShade="BF"/>
          <w:sz w:val="28"/>
          <w:szCs w:val="28"/>
        </w:rPr>
        <w:t xml:space="preserve"> </w:t>
      </w:r>
    </w:p>
    <w:p w14:paraId="766CA95E" w14:textId="4E60D5B5" w:rsidR="00B2715B" w:rsidRDefault="00B2715B" w:rsidP="3993AF67">
      <w:pPr>
        <w:jc w:val="center"/>
        <w:rPr>
          <w:rFonts w:ascii="Calibri" w:eastAsia="Calibri" w:hAnsi="Calibri" w:cs="Calibri"/>
          <w:color w:val="365F91" w:themeColor="accent1" w:themeShade="BF"/>
          <w:sz w:val="28"/>
          <w:szCs w:val="28"/>
        </w:rPr>
      </w:pPr>
    </w:p>
    <w:p w14:paraId="05B07C9E" w14:textId="7B591F00" w:rsidR="00B2715B" w:rsidRDefault="00B2715B" w:rsidP="3993AF67">
      <w:pPr>
        <w:jc w:val="center"/>
        <w:rPr>
          <w:rFonts w:ascii="Calibri" w:eastAsia="Calibri" w:hAnsi="Calibri" w:cs="Calibri"/>
          <w:color w:val="365F91" w:themeColor="accent1" w:themeShade="BF"/>
          <w:sz w:val="28"/>
          <w:szCs w:val="28"/>
        </w:rPr>
      </w:pPr>
    </w:p>
    <w:p w14:paraId="1B8250D8" w14:textId="6F734C37" w:rsidR="00B2715B" w:rsidRDefault="00F54CD0" w:rsidP="3993AF67">
      <w:pPr>
        <w:jc w:val="center"/>
      </w:pPr>
      <w:r>
        <w:br/>
      </w:r>
    </w:p>
    <w:p w14:paraId="7800A913" w14:textId="3A130622" w:rsidR="00B2715B" w:rsidRDefault="00B2715B" w:rsidP="720F8758">
      <w:pPr>
        <w:jc w:val="center"/>
      </w:pPr>
    </w:p>
    <w:p w14:paraId="63B29708" w14:textId="41678C52" w:rsidR="00B2715B" w:rsidRDefault="00B2715B" w:rsidP="720F8758">
      <w:pPr>
        <w:jc w:val="center"/>
      </w:pPr>
    </w:p>
    <w:p w14:paraId="08256573" w14:textId="500FFC45" w:rsidR="00B2715B" w:rsidRDefault="00B2715B" w:rsidP="720F8758">
      <w:pPr>
        <w:jc w:val="center"/>
      </w:pPr>
    </w:p>
    <w:p w14:paraId="6631C22E" w14:textId="503528EA" w:rsidR="00B2715B" w:rsidRDefault="141E4473" w:rsidP="720F8758">
      <w:pPr>
        <w:jc w:val="center"/>
        <w:rPr>
          <w:rFonts w:ascii="Calibri" w:eastAsia="Calibri" w:hAnsi="Calibri" w:cs="Calibri"/>
          <w:color w:val="365F91" w:themeColor="accent1" w:themeShade="BF"/>
          <w:sz w:val="28"/>
          <w:szCs w:val="28"/>
        </w:rPr>
      </w:pPr>
      <w:r w:rsidRPr="720F8758">
        <w:rPr>
          <w:rFonts w:ascii="Calibri" w:eastAsia="Calibri" w:hAnsi="Calibri" w:cs="Calibri"/>
          <w:b/>
          <w:bCs/>
          <w:color w:val="365F91" w:themeColor="accent1" w:themeShade="BF"/>
          <w:sz w:val="28"/>
          <w:szCs w:val="28"/>
        </w:rPr>
        <w:t xml:space="preserve">Version: 1.0 </w:t>
      </w:r>
      <w:r w:rsidR="00B2715B">
        <w:br/>
      </w:r>
      <w:r w:rsidRPr="720F8758">
        <w:rPr>
          <w:rFonts w:ascii="Calibri" w:eastAsia="Calibri" w:hAnsi="Calibri" w:cs="Calibri"/>
          <w:b/>
          <w:bCs/>
          <w:color w:val="365F91" w:themeColor="accent1" w:themeShade="BF"/>
          <w:sz w:val="28"/>
          <w:szCs w:val="28"/>
        </w:rPr>
        <w:t xml:space="preserve">Effective Date: 03 February 2026 </w:t>
      </w:r>
      <w:r w:rsidR="00B2715B">
        <w:br/>
      </w:r>
      <w:r w:rsidRPr="720F8758">
        <w:rPr>
          <w:rFonts w:ascii="Calibri" w:eastAsia="Calibri" w:hAnsi="Calibri" w:cs="Calibri"/>
          <w:b/>
          <w:bCs/>
          <w:color w:val="365F91" w:themeColor="accent1" w:themeShade="BF"/>
          <w:sz w:val="28"/>
          <w:szCs w:val="28"/>
        </w:rPr>
        <w:t>Document Owner: Armand Slabbert</w:t>
      </w:r>
    </w:p>
    <w:p w14:paraId="22BBA6B5" w14:textId="678DDDA3" w:rsidR="00B2715B" w:rsidRDefault="78194A22">
      <w:pPr>
        <w:pStyle w:val="Title"/>
        <w:jc w:val="center"/>
      </w:pPr>
      <w:r>
        <w:lastRenderedPageBreak/>
        <w:t>Governance, Controls &amp; Standard Operating Procedures</w:t>
      </w:r>
    </w:p>
    <w:p w14:paraId="687F4A63" w14:textId="77777777" w:rsidR="00B2715B" w:rsidRDefault="00F54CD0">
      <w:pPr>
        <w:pStyle w:val="Heading1"/>
      </w:pPr>
      <w:r>
        <w:t>1. Purpose of the Finance Operating Manual</w:t>
      </w:r>
    </w:p>
    <w:p w14:paraId="7F1498E0" w14:textId="77777777" w:rsidR="00B2715B" w:rsidRDefault="00F54CD0">
      <w:pPr>
        <w:spacing w:after="240"/>
      </w:pPr>
      <w:r>
        <w:t>This Finance Operating Manual defines the governance framework, financial controls, and standard operating procedures governing the finance function. It is designed to ensure accuracy, completeness, consistency, regulatory compliance, and audit readiness across all finance activities.</w:t>
      </w:r>
    </w:p>
    <w:p w14:paraId="2E3BAD62" w14:textId="77777777" w:rsidR="00B2715B" w:rsidRDefault="00F54CD0">
      <w:pPr>
        <w:pStyle w:val="Heading1"/>
      </w:pPr>
      <w:r>
        <w:t>2. Scope</w:t>
      </w:r>
    </w:p>
    <w:p w14:paraId="59B2BFA0" w14:textId="77777777" w:rsidR="00B2715B" w:rsidRDefault="00F54CD0">
      <w:pPr>
        <w:spacing w:after="240"/>
      </w:pPr>
      <w:r>
        <w:t>This manual applies to all finance personnel, entities, and reporting periods. It governs month-end close, transaction processing, statutory compliance, and financial control activities.</w:t>
      </w:r>
    </w:p>
    <w:p w14:paraId="0B6A331D" w14:textId="77777777" w:rsidR="00B2715B" w:rsidRDefault="00F54CD0">
      <w:pPr>
        <w:pStyle w:val="Heading1"/>
      </w:pPr>
      <w:r>
        <w:t>3. Governance &amp; Accountability</w:t>
      </w:r>
    </w:p>
    <w:p w14:paraId="0A768B38" w14:textId="2F99813B" w:rsidR="00B2715B" w:rsidRDefault="00F54CD0">
      <w:pPr>
        <w:spacing w:after="240"/>
      </w:pPr>
      <w:r>
        <w:t xml:space="preserve">Finance Management is responsible for maintaining this manual. All deviations from documented procedures require formal approval. </w:t>
      </w:r>
      <w:r w:rsidR="0093748C">
        <w:t>These manual serves</w:t>
      </w:r>
      <w:r>
        <w:t xml:space="preserve"> as the authoritative reference for auditors and stakeholders.</w:t>
      </w:r>
    </w:p>
    <w:p w14:paraId="333D8C34" w14:textId="77777777" w:rsidR="00B2715B" w:rsidRDefault="00F54CD0">
      <w:pPr>
        <w:pStyle w:val="Heading1"/>
      </w:pPr>
      <w:r>
        <w:t>4. SOP Index</w:t>
      </w:r>
    </w:p>
    <w:p w14:paraId="503621CB" w14:textId="7A58E504" w:rsidR="00B2715B" w:rsidRDefault="3993AF67" w:rsidP="3993AF67">
      <w:pPr>
        <w:spacing w:after="240"/>
        <w:rPr>
          <w:highlight w:val="yellow"/>
        </w:rPr>
      </w:pPr>
      <w:r>
        <w:t>The following SOPs form part of this Finance Operating Manual:</w:t>
      </w:r>
      <w:r>
        <w:br/>
      </w:r>
      <w:r>
        <w:br/>
        <w:t>SOP 01 – Month-End Close Process</w:t>
      </w:r>
      <w:r>
        <w:br/>
        <w:t>SOP 02 – General Ledger &amp; Journal Entries</w:t>
      </w:r>
      <w:r>
        <w:br/>
        <w:t>SOP 03 – Balance Sheet Reconciliations</w:t>
      </w:r>
      <w:r>
        <w:br/>
        <w:t>SOP 04 – Revenue Recognition &amp; Cut-Off</w:t>
      </w:r>
      <w:r>
        <w:br/>
        <w:t>SOP 05 – VAT &amp; Tax Compliance</w:t>
      </w:r>
      <w:r>
        <w:br/>
        <w:t xml:space="preserve">SOP 06 – Payroll &amp; </w:t>
      </w:r>
      <w:r w:rsidR="5C8E4143">
        <w:t>Independent</w:t>
      </w:r>
      <w:r w:rsidR="67976BAE">
        <w:t xml:space="preserve"> Contractors </w:t>
      </w:r>
      <w:r>
        <w:br/>
        <w:t xml:space="preserve">SOP 07 – </w:t>
      </w:r>
      <w:r w:rsidR="62F3CDB6">
        <w:t xml:space="preserve">Pre-payments </w:t>
      </w:r>
      <w:r>
        <w:t>&amp; Accruals</w:t>
      </w:r>
      <w:r>
        <w:br/>
      </w:r>
      <w:r w:rsidRPr="006B61F5">
        <w:t>SOP 08 – Post</w:t>
      </w:r>
      <w:r w:rsidR="5ADCCEAD" w:rsidRPr="006B61F5">
        <w:t xml:space="preserve"> </w:t>
      </w:r>
      <w:r w:rsidRPr="006B61F5">
        <w:t>-</w:t>
      </w:r>
      <w:r w:rsidR="5ADCCEAD" w:rsidRPr="006B61F5">
        <w:t xml:space="preserve"> </w:t>
      </w:r>
      <w:r w:rsidRPr="006B61F5">
        <w:t xml:space="preserve">Close Adjustments &amp; </w:t>
      </w:r>
      <w:r w:rsidR="6F2DFA5B" w:rsidRPr="006B61F5">
        <w:t>Reclassification</w:t>
      </w:r>
      <w:r>
        <w:br/>
      </w:r>
      <w:r w:rsidRPr="006B61F5">
        <w:t>SOP 09 – Cash &amp; Banking</w:t>
      </w:r>
      <w:r>
        <w:br/>
      </w:r>
      <w:r w:rsidRPr="006B61F5">
        <w:t>SOP 10 – Document Retention &amp; Audit Evidence</w:t>
      </w:r>
      <w:r>
        <w:br/>
      </w:r>
      <w:r w:rsidRPr="006B61F5">
        <w:t>SOP 11 – Controls &amp; Escalation</w:t>
      </w:r>
      <w:r w:rsidR="2AD2636F" w:rsidRPr="006B61F5">
        <w:t xml:space="preserve"> (if applicable)</w:t>
      </w:r>
    </w:p>
    <w:p w14:paraId="4F0F76CC" w14:textId="77777777" w:rsidR="00B2715B" w:rsidRDefault="00F54CD0">
      <w:pPr>
        <w:pStyle w:val="Heading1"/>
      </w:pPr>
      <w:r>
        <w:t>5. Document Hierarchy</w:t>
      </w:r>
    </w:p>
    <w:p w14:paraId="1E27251D" w14:textId="77777777" w:rsidR="00B2715B" w:rsidRDefault="00F54CD0">
      <w:pPr>
        <w:spacing w:after="240"/>
      </w:pPr>
      <w:r>
        <w:t>This manual governs all finance processes. Individual SOPs provide detailed execution guidance. Excel control packs and templates operationalise the SOPs.</w:t>
      </w:r>
    </w:p>
    <w:p w14:paraId="374E89E8" w14:textId="77777777" w:rsidR="00B2715B" w:rsidRDefault="00F54CD0">
      <w:pPr>
        <w:pStyle w:val="Heading1"/>
      </w:pPr>
      <w:r>
        <w:lastRenderedPageBreak/>
        <w:t>6. Version Control</w:t>
      </w:r>
    </w:p>
    <w:p w14:paraId="2D00F4D4" w14:textId="1715CE20" w:rsidR="00B2715B" w:rsidRDefault="3993AF67">
      <w:pPr>
        <w:spacing w:after="240"/>
      </w:pPr>
      <w:r>
        <w:t>All SOPs and templates are maintained as locked master documents. Updates require approval by Finance Management and version of incrementing. Historical versions must be retained.</w:t>
      </w:r>
    </w:p>
    <w:p w14:paraId="42AE0831" w14:textId="77777777" w:rsidR="00B2715B" w:rsidRDefault="00F54CD0">
      <w:pPr>
        <w:pStyle w:val="Heading1"/>
      </w:pPr>
      <w:r>
        <w:t>7. Evidence &amp; Audit Readiness</w:t>
      </w:r>
    </w:p>
    <w:p w14:paraId="597C5D14" w14:textId="77777777" w:rsidR="00B2715B" w:rsidRDefault="00F54CD0">
      <w:pPr>
        <w:spacing w:after="240"/>
      </w:pPr>
      <w:r>
        <w:t>All finance activities must be supported by appropriate evidence stored in controlled locations. Documentation must be readily accessible for internal and external audits.</w:t>
      </w:r>
    </w:p>
    <w:p w14:paraId="48B9C9D3" w14:textId="77777777" w:rsidR="00B2715B" w:rsidRDefault="00F54CD0">
      <w:pPr>
        <w:pStyle w:val="Heading1"/>
      </w:pPr>
      <w:r>
        <w:t>8. Non-Compliance</w:t>
      </w:r>
    </w:p>
    <w:p w14:paraId="18EA568F" w14:textId="77777777" w:rsidR="00B2715B" w:rsidRDefault="00F54CD0">
      <w:pPr>
        <w:spacing w:after="240"/>
      </w:pPr>
      <w:r>
        <w:t>Failure to comply with this manual may result in control deficiencies, audit findings, or disciplinary action. All exceptions must be documented and approved.</w:t>
      </w:r>
    </w:p>
    <w:p w14:paraId="66B921CC" w14:textId="77777777" w:rsidR="00B2715B" w:rsidRDefault="00F54CD0">
      <w:pPr>
        <w:pStyle w:val="Heading1"/>
      </w:pPr>
      <w:r>
        <w:t>9. Approval</w:t>
      </w:r>
    </w:p>
    <w:p w14:paraId="54D0310E" w14:textId="27FB6CD6" w:rsidR="00B2715B" w:rsidRDefault="3993AF67" w:rsidP="3993AF67">
      <w:pPr>
        <w:spacing w:after="240"/>
      </w:pPr>
      <w:r>
        <w:t>This Finance Operating Manual is effective upon approval and supersedes all previous undocumented practices.</w:t>
      </w:r>
      <w:r w:rsidR="00F54CD0">
        <w:br/>
      </w:r>
    </w:p>
    <w:p w14:paraId="37D51374" w14:textId="11B7D1F6" w:rsidR="00B2715B" w:rsidRDefault="00F54CD0" w:rsidP="3993AF67">
      <w:pPr>
        <w:spacing w:after="240"/>
      </w:pPr>
      <w:r>
        <w:br/>
      </w:r>
      <w:r w:rsidR="3993AF67">
        <w:t>Approved by:</w:t>
      </w:r>
      <w:r>
        <w:br/>
      </w:r>
      <w:r>
        <w:br/>
      </w:r>
      <w:r w:rsidR="3993AF67">
        <w:t>____________________________</w:t>
      </w:r>
      <w:r>
        <w:br/>
      </w:r>
      <w:r w:rsidR="3993AF67">
        <w:t>Finance Manager / CFO</w:t>
      </w:r>
      <w:r>
        <w:br/>
      </w:r>
      <w:r w:rsidR="3993AF67">
        <w:t>Date: _____________________</w:t>
      </w:r>
    </w:p>
    <w:sectPr w:rsidR="00B2715B" w:rsidSect="00034616">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40FC06" w14:textId="77777777" w:rsidR="00F60E91" w:rsidRDefault="00F60E91">
      <w:pPr>
        <w:spacing w:after="0" w:line="240" w:lineRule="auto"/>
      </w:pPr>
      <w:r>
        <w:separator/>
      </w:r>
    </w:p>
  </w:endnote>
  <w:endnote w:type="continuationSeparator" w:id="0">
    <w:p w14:paraId="33F4951F" w14:textId="77777777" w:rsidR="00F60E91" w:rsidRDefault="00F60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31F26" w14:textId="505E2A14" w:rsidR="720F8758" w:rsidRDefault="720F8758" w:rsidP="720F8758">
    <w:pPr>
      <w:pStyle w:val="Footer"/>
      <w:jc w:val="center"/>
    </w:pPr>
    <w:r>
      <w:fldChar w:fldCharType="begin"/>
    </w:r>
    <w:r>
      <w:instrText>PAGE</w:instrText>
    </w:r>
    <w:r>
      <w:fldChar w:fldCharType="separate"/>
    </w:r>
    <w:r w:rsidR="00305DBA">
      <w:rPr>
        <w:noProof/>
      </w:rPr>
      <w:t>1</w:t>
    </w:r>
    <w:r>
      <w:fldChar w:fldCharType="end"/>
    </w:r>
  </w:p>
  <w:p w14:paraId="24646302" w14:textId="75EAF016" w:rsidR="3993AF67" w:rsidRDefault="3993AF67" w:rsidP="720F8758">
    <w:pPr>
      <w:pStyle w:val="Footer"/>
      <w:jc w:val="right"/>
      <w:rPr>
        <w:noProof/>
      </w:rPr>
    </w:pPr>
  </w:p>
  <w:p w14:paraId="3CE3319F" w14:textId="25A095E2" w:rsidR="3993AF67" w:rsidRDefault="3993AF67" w:rsidP="3993AF6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334FEE" w14:textId="77777777" w:rsidR="00F60E91" w:rsidRDefault="00F60E91">
      <w:pPr>
        <w:spacing w:after="0" w:line="240" w:lineRule="auto"/>
      </w:pPr>
      <w:r>
        <w:separator/>
      </w:r>
    </w:p>
  </w:footnote>
  <w:footnote w:type="continuationSeparator" w:id="0">
    <w:p w14:paraId="66E89D4C" w14:textId="77777777" w:rsidR="00F60E91" w:rsidRDefault="00F60E9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2880"/>
      <w:gridCol w:w="2880"/>
      <w:gridCol w:w="2880"/>
    </w:tblGrid>
    <w:tr w:rsidR="3993AF67" w14:paraId="39FE6550" w14:textId="77777777" w:rsidTr="3993AF67">
      <w:trPr>
        <w:trHeight w:val="300"/>
      </w:trPr>
      <w:tc>
        <w:tcPr>
          <w:tcW w:w="2880" w:type="dxa"/>
        </w:tcPr>
        <w:p w14:paraId="72E67FF7" w14:textId="69CB4162" w:rsidR="3993AF67" w:rsidRDefault="3993AF67" w:rsidP="3993AF67">
          <w:pPr>
            <w:pStyle w:val="Header"/>
            <w:ind w:left="-115"/>
          </w:pPr>
        </w:p>
      </w:tc>
      <w:tc>
        <w:tcPr>
          <w:tcW w:w="2880" w:type="dxa"/>
        </w:tcPr>
        <w:p w14:paraId="70E5A027" w14:textId="617E0094" w:rsidR="3993AF67" w:rsidRDefault="3993AF67" w:rsidP="3993AF67">
          <w:pPr>
            <w:pStyle w:val="Header"/>
            <w:jc w:val="center"/>
          </w:pPr>
        </w:p>
      </w:tc>
      <w:tc>
        <w:tcPr>
          <w:tcW w:w="2880" w:type="dxa"/>
        </w:tcPr>
        <w:p w14:paraId="0A4829CA" w14:textId="47897F1B" w:rsidR="3993AF67" w:rsidRDefault="3993AF67" w:rsidP="3993AF67">
          <w:pPr>
            <w:pStyle w:val="Header"/>
            <w:ind w:right="-115"/>
            <w:jc w:val="right"/>
          </w:pPr>
        </w:p>
      </w:tc>
    </w:tr>
  </w:tbl>
  <w:p w14:paraId="07EED910" w14:textId="229A2359" w:rsidR="3993AF67" w:rsidRDefault="3993AF67" w:rsidP="3993AF67">
    <w:pPr>
      <w:pStyle w:val="Header"/>
    </w:pPr>
  </w:p>
</w:hdr>
</file>

<file path=word/intelligence2.xml><?xml version="1.0" encoding="utf-8"?>
<int2:intelligence xmlns:int2="http://schemas.microsoft.com/office/intelligence/2020/intelligence">
  <int2:observations>
    <int2:textHash int2:hashCode="RH7fa2gAvRoX8K" int2:id="Sq05URVI">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60"/>
  <w:proofState w:spelling="clean" w:grammar="clean"/>
  <w:documentProtection w:edit="readOnly" w:enforcement="1" w:cryptProviderType="rsaFull" w:cryptAlgorithmClass="hash" w:cryptAlgorithmType="typeAny" w:cryptAlgorithmSid="4" w:cryptSpinCount="100000" w:hash="wpbNuKfbK+XW5uYnh6rxmZvxv40=" w:salt="NL2mDDCZmuLlVu1h7o3XMg=="/>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5DBA"/>
    <w:rsid w:val="00326F90"/>
    <w:rsid w:val="003A0171"/>
    <w:rsid w:val="006B61F5"/>
    <w:rsid w:val="007D1608"/>
    <w:rsid w:val="0093748C"/>
    <w:rsid w:val="00AA1D8D"/>
    <w:rsid w:val="00B2715B"/>
    <w:rsid w:val="00B47730"/>
    <w:rsid w:val="00C73ECB"/>
    <w:rsid w:val="00CB0664"/>
    <w:rsid w:val="00D8040E"/>
    <w:rsid w:val="00E26DED"/>
    <w:rsid w:val="00EB09BC"/>
    <w:rsid w:val="00F303B2"/>
    <w:rsid w:val="00F54CD0"/>
    <w:rsid w:val="00F60E91"/>
    <w:rsid w:val="00F67EFA"/>
    <w:rsid w:val="00FC693F"/>
    <w:rsid w:val="12806B10"/>
    <w:rsid w:val="13A99719"/>
    <w:rsid w:val="141E4473"/>
    <w:rsid w:val="171DDEB8"/>
    <w:rsid w:val="1B3D2DFB"/>
    <w:rsid w:val="22F78CD2"/>
    <w:rsid w:val="25697E27"/>
    <w:rsid w:val="2AD2636F"/>
    <w:rsid w:val="3993AF67"/>
    <w:rsid w:val="3FA64165"/>
    <w:rsid w:val="40C229AC"/>
    <w:rsid w:val="4186B8EB"/>
    <w:rsid w:val="449F80B8"/>
    <w:rsid w:val="44D4F51D"/>
    <w:rsid w:val="4537B569"/>
    <w:rsid w:val="575C1F9C"/>
    <w:rsid w:val="5ADCCEAD"/>
    <w:rsid w:val="5C8E4143"/>
    <w:rsid w:val="5E5AEAFD"/>
    <w:rsid w:val="60F5C516"/>
    <w:rsid w:val="62F3CDB6"/>
    <w:rsid w:val="67976BAE"/>
    <w:rsid w:val="699B8FB1"/>
    <w:rsid w:val="6F2DFA5B"/>
    <w:rsid w:val="71382B9D"/>
    <w:rsid w:val="720F8758"/>
    <w:rsid w:val="73D2C101"/>
    <w:rsid w:val="75140EA0"/>
    <w:rsid w:val="78194A22"/>
    <w:rsid w:val="78FC8B19"/>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4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ee253091cefd4632" Type="http://schemas.microsoft.com/office/2020/10/relationships/intelligence" Target="intelligence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D2CAE-5A6D-B245-9803-4B0C28AF2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364</Words>
  <Characters>2080</Characters>
  <Application>Microsoft Macintosh Word</Application>
  <DocSecurity>10</DocSecurity>
  <Lines>17</Lines>
  <Paragraphs>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1. Purpose of the Finance Operating Manual</vt:lpstr>
      <vt:lpstr>2. Scope</vt:lpstr>
      <vt:lpstr>3. Governance &amp; Accountability</vt:lpstr>
      <vt:lpstr>4. SOP Index</vt:lpstr>
      <vt:lpstr>5. Document Hierarchy</vt:lpstr>
      <vt:lpstr>6. Version Control</vt:lpstr>
      <vt:lpstr>7. Evidence &amp; Audit Readiness</vt:lpstr>
      <vt:lpstr>8. Non-Compliance</vt:lpstr>
      <vt:lpstr>9. Approval</vt:lpstr>
    </vt:vector>
  </TitlesOfParts>
  <Manager/>
  <Company/>
  <LinksUpToDate>false</LinksUpToDate>
  <CharactersWithSpaces>2440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armandslabbert@gmail.com</cp:lastModifiedBy>
  <cp:revision>7</cp:revision>
  <dcterms:created xsi:type="dcterms:W3CDTF">2013-12-23T23:15:00Z</dcterms:created>
  <dcterms:modified xsi:type="dcterms:W3CDTF">2026-02-06T15:58:00Z</dcterms:modified>
  <cp:category/>
</cp:coreProperties>
</file>