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DA68C8" w14:textId="2F46B9C6" w:rsidR="00F4580B" w:rsidRDefault="00F4580B" w:rsidP="58E7D022">
      <w:pPr>
        <w:jc w:val="center"/>
        <w:rPr>
          <w:rFonts w:ascii="Calibri" w:eastAsia="Calibri" w:hAnsi="Calibri" w:cs="Calibri"/>
          <w:b/>
          <w:bCs/>
          <w:color w:val="365F91"/>
          <w:sz w:val="56"/>
          <w:szCs w:val="56"/>
          <w:highlight w:val="lightGray"/>
        </w:rPr>
      </w:pPr>
      <w:bookmarkStart w:id="0" w:name="_GoBack"/>
      <w:bookmarkEnd w:id="0"/>
    </w:p>
    <w:p w14:paraId="171E5D10" w14:textId="02FD9C26" w:rsidR="00F4580B" w:rsidRDefault="3625076B" w:rsidP="58E7D022">
      <w:pPr>
        <w:jc w:val="center"/>
        <w:rPr>
          <w:rFonts w:ascii="Calibri" w:eastAsia="Calibri" w:hAnsi="Calibri" w:cs="Calibri"/>
          <w:color w:val="365F91"/>
          <w:sz w:val="56"/>
          <w:szCs w:val="56"/>
        </w:rPr>
      </w:pPr>
      <w:r w:rsidRPr="58E7D022">
        <w:rPr>
          <w:rFonts w:ascii="Calibri" w:eastAsia="Calibri" w:hAnsi="Calibri" w:cs="Calibri"/>
          <w:b/>
          <w:bCs/>
          <w:color w:val="365F91"/>
          <w:sz w:val="56"/>
          <w:szCs w:val="56"/>
          <w:highlight w:val="lightGray"/>
        </w:rPr>
        <w:t>COMPANY NAME</w:t>
      </w:r>
      <w:r w:rsidRPr="58E7D022">
        <w:rPr>
          <w:rFonts w:ascii="Calibri" w:eastAsia="Calibri" w:hAnsi="Calibri" w:cs="Calibri"/>
          <w:b/>
          <w:bCs/>
          <w:color w:val="365F91"/>
          <w:sz w:val="56"/>
          <w:szCs w:val="56"/>
        </w:rPr>
        <w:t xml:space="preserve"> </w:t>
      </w:r>
      <w:r w:rsidR="00436E07">
        <w:br/>
      </w:r>
    </w:p>
    <w:p w14:paraId="714A9D16" w14:textId="7240B72F" w:rsidR="00F4580B" w:rsidRDefault="3625076B" w:rsidP="58E7D022">
      <w:pPr>
        <w:jc w:val="center"/>
        <w:rPr>
          <w:rFonts w:ascii="Calibri" w:eastAsia="Calibri" w:hAnsi="Calibri" w:cs="Calibri"/>
          <w:color w:val="365F91"/>
          <w:sz w:val="28"/>
          <w:szCs w:val="28"/>
        </w:rPr>
      </w:pPr>
      <w:r w:rsidRPr="58E7D022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</w:t>
      </w:r>
      <w:r w:rsidR="00436E07">
        <w:br/>
      </w:r>
      <w:r w:rsidRPr="58E7D022">
        <w:rPr>
          <w:rFonts w:ascii="Calibri" w:eastAsia="Calibri" w:hAnsi="Calibri" w:cs="Calibri"/>
          <w:b/>
          <w:bCs/>
          <w:color w:val="365F91"/>
          <w:sz w:val="40"/>
          <w:szCs w:val="40"/>
          <w:u w:val="single"/>
        </w:rPr>
        <w:t>SOP 03 – Balance Sheet Reconciliations</w:t>
      </w:r>
      <w:r w:rsidR="00436E07">
        <w:br/>
      </w:r>
      <w:r w:rsidRPr="58E7D022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STANDARD OPERATING PROCEDURE (SOP) </w:t>
      </w:r>
      <w:r w:rsidR="00436E07">
        <w:br/>
      </w:r>
      <w:r w:rsidRPr="58E7D022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</w:t>
      </w:r>
    </w:p>
    <w:p w14:paraId="223BCAA3" w14:textId="71710000" w:rsidR="00F4580B" w:rsidRDefault="3625076B" w:rsidP="58E7D022">
      <w:pPr>
        <w:jc w:val="center"/>
        <w:rPr>
          <w:rFonts w:ascii="Calibri" w:eastAsia="Calibri" w:hAnsi="Calibri" w:cs="Calibri"/>
          <w:color w:val="365F91"/>
          <w:sz w:val="28"/>
          <w:szCs w:val="28"/>
        </w:rPr>
      </w:pPr>
      <w:r w:rsidRPr="58E7D022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</w:t>
      </w:r>
      <w:r w:rsidR="00436E07">
        <w:br/>
      </w:r>
      <w:r w:rsidRPr="58E7D022">
        <w:rPr>
          <w:rFonts w:ascii="Calibri" w:eastAsia="Calibri" w:hAnsi="Calibri" w:cs="Calibri"/>
          <w:b/>
          <w:bCs/>
          <w:color w:val="365F91"/>
          <w:sz w:val="28"/>
          <w:szCs w:val="28"/>
          <w:highlight w:val="lightGray"/>
        </w:rPr>
        <w:t>[Insert Company Logo Here]</w:t>
      </w:r>
      <w:r w:rsidRPr="58E7D022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</w:t>
      </w:r>
      <w:r w:rsidR="00436E07">
        <w:br/>
      </w:r>
      <w:r w:rsidRPr="58E7D022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</w:t>
      </w:r>
    </w:p>
    <w:p w14:paraId="30894836" w14:textId="12B81827" w:rsidR="00F4580B" w:rsidRDefault="00F4580B" w:rsidP="58E7D022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7448562A" w14:textId="3896CBF0" w:rsidR="00F4580B" w:rsidRDefault="00F4580B" w:rsidP="58E7D022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2B5F0763" w14:textId="6221C140" w:rsidR="00F4580B" w:rsidRDefault="00F4580B" w:rsidP="58E7D022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1B3A630B" w14:textId="59EF772D" w:rsidR="00F4580B" w:rsidRDefault="00F4580B" w:rsidP="58E7D022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2B177519" w14:textId="46F03324" w:rsidR="00F4580B" w:rsidRDefault="00F4580B" w:rsidP="58E7D022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393F98BB" w14:textId="298379FC" w:rsidR="00F4580B" w:rsidRDefault="00F4580B" w:rsidP="58E7D022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0925B257" w14:textId="0BF0F06A" w:rsidR="00F4580B" w:rsidRDefault="00F4580B" w:rsidP="58E7D022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284C4167" w14:textId="2A3315B0" w:rsidR="00F4580B" w:rsidRDefault="00F4580B" w:rsidP="58E7D022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3BEBD076" w14:textId="4F832193" w:rsidR="00F4580B" w:rsidRDefault="00F4580B" w:rsidP="58E7D022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28EC7197" w14:textId="563B1BBE" w:rsidR="00F4580B" w:rsidRDefault="3625076B" w:rsidP="58E7D022">
      <w:pPr>
        <w:jc w:val="center"/>
        <w:rPr>
          <w:rFonts w:ascii="Calibri" w:eastAsia="Calibri" w:hAnsi="Calibri" w:cs="Calibri"/>
          <w:color w:val="365F91"/>
          <w:sz w:val="28"/>
          <w:szCs w:val="28"/>
        </w:rPr>
      </w:pPr>
      <w:r w:rsidRPr="58E7D022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</w:t>
      </w:r>
      <w:r w:rsidR="66E94B4C" w:rsidRPr="58E7D022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</w:t>
      </w:r>
    </w:p>
    <w:p w14:paraId="2B6CC490" w14:textId="31AEB337" w:rsidR="00F4580B" w:rsidRDefault="00436E07" w:rsidP="58E7D022">
      <w:pPr>
        <w:jc w:val="center"/>
        <w:rPr>
          <w:rFonts w:ascii="Calibri" w:eastAsia="Calibri" w:hAnsi="Calibri" w:cs="Calibri"/>
          <w:color w:val="365F91"/>
          <w:sz w:val="28"/>
          <w:szCs w:val="28"/>
        </w:rPr>
      </w:pPr>
      <w:r>
        <w:br/>
      </w:r>
      <w:r w:rsidR="3625076B" w:rsidRPr="58E7D022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Version: 1.0 </w:t>
      </w:r>
      <w:r>
        <w:br/>
      </w:r>
      <w:r w:rsidR="3625076B" w:rsidRPr="58E7D022">
        <w:rPr>
          <w:rFonts w:ascii="Calibri" w:eastAsia="Calibri" w:hAnsi="Calibri" w:cs="Calibri"/>
          <w:b/>
          <w:bCs/>
          <w:color w:val="365F91"/>
          <w:sz w:val="28"/>
          <w:szCs w:val="28"/>
        </w:rPr>
        <w:t>Effective Date: 0</w:t>
      </w:r>
      <w:r w:rsidR="7DB9CC51" w:rsidRPr="58E7D022">
        <w:rPr>
          <w:rFonts w:ascii="Calibri" w:eastAsia="Calibri" w:hAnsi="Calibri" w:cs="Calibri"/>
          <w:b/>
          <w:bCs/>
          <w:color w:val="365F91"/>
          <w:sz w:val="28"/>
          <w:szCs w:val="28"/>
        </w:rPr>
        <w:t>3</w:t>
      </w:r>
      <w:r w:rsidR="3625076B" w:rsidRPr="58E7D022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February 2026 </w:t>
      </w:r>
      <w:r>
        <w:br/>
      </w:r>
      <w:r w:rsidR="3625076B" w:rsidRPr="58E7D022">
        <w:rPr>
          <w:rFonts w:ascii="Calibri" w:eastAsia="Calibri" w:hAnsi="Calibri" w:cs="Calibri"/>
          <w:b/>
          <w:bCs/>
          <w:color w:val="365F91"/>
          <w:sz w:val="28"/>
          <w:szCs w:val="28"/>
        </w:rPr>
        <w:t>Document Owner: Armand Slabbert</w:t>
      </w:r>
    </w:p>
    <w:p w14:paraId="4FE643FE" w14:textId="2EEDE86A" w:rsidR="00F4580B" w:rsidRDefault="4DBCCDED" w:rsidP="58E7D022">
      <w:pPr>
        <w:pStyle w:val="Title"/>
        <w:pBdr>
          <w:bottom w:val="single" w:sz="8" w:space="4" w:color="4F81BD"/>
        </w:pBdr>
        <w:spacing w:after="300"/>
        <w:rPr>
          <w:rFonts w:ascii="Calibri" w:eastAsia="Calibri" w:hAnsi="Calibri" w:cs="Calibri"/>
          <w:color w:val="17365D"/>
          <w:sz w:val="52"/>
          <w:szCs w:val="52"/>
        </w:rPr>
      </w:pPr>
      <w:r w:rsidRPr="58E7D022">
        <w:rPr>
          <w:rFonts w:ascii="Calibri" w:eastAsia="Calibri" w:hAnsi="Calibri" w:cs="Calibri"/>
          <w:color w:val="17365D"/>
          <w:sz w:val="52"/>
          <w:szCs w:val="52"/>
        </w:rPr>
        <w:lastRenderedPageBreak/>
        <w:t>STANDARD OPERATING PROCEDURE (SOP</w:t>
      </w:r>
    </w:p>
    <w:p w14:paraId="7BBD5A5C" w14:textId="5C0398C4" w:rsidR="00F4580B" w:rsidRDefault="3625076B" w:rsidP="58E7D022">
      <w:pPr>
        <w:pStyle w:val="Heading1"/>
        <w:spacing w:before="480" w:after="0"/>
        <w:rPr>
          <w:rFonts w:ascii="Calibri" w:eastAsia="Calibri" w:hAnsi="Calibri" w:cs="Calibri"/>
          <w:color w:val="365F91"/>
          <w:sz w:val="28"/>
          <w:szCs w:val="28"/>
        </w:rPr>
      </w:pPr>
      <w:r w:rsidRPr="58E7D022">
        <w:rPr>
          <w:rFonts w:ascii="Calibri" w:eastAsia="Calibri" w:hAnsi="Calibri" w:cs="Calibri"/>
          <w:b/>
          <w:bCs/>
          <w:color w:val="365F91"/>
          <w:sz w:val="28"/>
          <w:szCs w:val="28"/>
        </w:rPr>
        <w:t>Balance Sheet Reconciliation Process</w:t>
      </w:r>
    </w:p>
    <w:p w14:paraId="277C93CE" w14:textId="315CE1C1" w:rsidR="00F4580B" w:rsidRDefault="3625076B" w:rsidP="58E7D022">
      <w:pPr>
        <w:pStyle w:val="Heading2"/>
        <w:spacing w:before="200" w:after="0"/>
        <w:rPr>
          <w:rFonts w:ascii="Calibri" w:eastAsia="Calibri" w:hAnsi="Calibri" w:cs="Calibri"/>
          <w:color w:val="4F81BD"/>
          <w:sz w:val="26"/>
          <w:szCs w:val="26"/>
        </w:rPr>
      </w:pPr>
      <w:r w:rsidRPr="58E7D022">
        <w:rPr>
          <w:rFonts w:ascii="Calibri" w:eastAsia="Calibri" w:hAnsi="Calibri" w:cs="Calibri"/>
          <w:b/>
          <w:bCs/>
          <w:color w:val="4F81BD"/>
          <w:sz w:val="26"/>
          <w:szCs w:val="26"/>
        </w:rPr>
        <w:t>1. Purpose</w:t>
      </w:r>
    </w:p>
    <w:p w14:paraId="0D067DCF" w14:textId="0608B976" w:rsidR="00F4580B" w:rsidRDefault="3625076B" w:rsidP="58E7D022">
      <w:pPr>
        <w:spacing w:after="24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8E7D022">
        <w:rPr>
          <w:rFonts w:ascii="Cambria" w:eastAsia="Cambria" w:hAnsi="Cambria" w:cs="Cambria"/>
          <w:color w:val="000000" w:themeColor="text1"/>
          <w:sz w:val="22"/>
          <w:szCs w:val="22"/>
        </w:rPr>
        <w:t>To ensure all balance sheet accounts are accurate, complete, and supported by reconciliations.</w:t>
      </w:r>
    </w:p>
    <w:p w14:paraId="14627C1A" w14:textId="47CF5443" w:rsidR="00F4580B" w:rsidRDefault="3625076B" w:rsidP="58E7D022">
      <w:pPr>
        <w:pStyle w:val="Heading2"/>
        <w:spacing w:before="200" w:after="0"/>
        <w:rPr>
          <w:rFonts w:ascii="Calibri" w:eastAsia="Calibri" w:hAnsi="Calibri" w:cs="Calibri"/>
          <w:color w:val="4F81BD"/>
          <w:sz w:val="26"/>
          <w:szCs w:val="26"/>
        </w:rPr>
      </w:pPr>
      <w:r w:rsidRPr="58E7D022">
        <w:rPr>
          <w:rFonts w:ascii="Calibri" w:eastAsia="Calibri" w:hAnsi="Calibri" w:cs="Calibri"/>
          <w:b/>
          <w:bCs/>
          <w:color w:val="4F81BD"/>
          <w:sz w:val="26"/>
          <w:szCs w:val="26"/>
        </w:rPr>
        <w:t>2. Scope</w:t>
      </w:r>
    </w:p>
    <w:p w14:paraId="599C07D7" w14:textId="49DD23A3" w:rsidR="00F4580B" w:rsidRDefault="3625076B" w:rsidP="58E7D022">
      <w:pPr>
        <w:spacing w:after="24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8E7D022">
        <w:rPr>
          <w:rFonts w:ascii="Cambria" w:eastAsia="Cambria" w:hAnsi="Cambria" w:cs="Cambria"/>
          <w:color w:val="000000" w:themeColor="text1"/>
          <w:sz w:val="22"/>
          <w:szCs w:val="22"/>
        </w:rPr>
        <w:t>Applies to all balance sheet accounts across all reporting periods.</w:t>
      </w:r>
    </w:p>
    <w:p w14:paraId="286FAD60" w14:textId="6031356B" w:rsidR="00F4580B" w:rsidRDefault="3625076B" w:rsidP="58E7D022">
      <w:pPr>
        <w:pStyle w:val="Heading2"/>
        <w:spacing w:before="200" w:after="0"/>
        <w:rPr>
          <w:rFonts w:ascii="Calibri" w:eastAsia="Calibri" w:hAnsi="Calibri" w:cs="Calibri"/>
          <w:color w:val="4F81BD"/>
          <w:sz w:val="26"/>
          <w:szCs w:val="26"/>
        </w:rPr>
      </w:pPr>
      <w:r w:rsidRPr="58E7D022">
        <w:rPr>
          <w:rFonts w:ascii="Calibri" w:eastAsia="Calibri" w:hAnsi="Calibri" w:cs="Calibri"/>
          <w:b/>
          <w:bCs/>
          <w:color w:val="4F81BD"/>
          <w:sz w:val="26"/>
          <w:szCs w:val="26"/>
        </w:rPr>
        <w:t>3. Reconciliation Standards</w:t>
      </w:r>
    </w:p>
    <w:p w14:paraId="19F5D6A1" w14:textId="2919919B" w:rsidR="00F4580B" w:rsidRDefault="3625076B" w:rsidP="58E7D022">
      <w:pPr>
        <w:spacing w:after="24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8E7D022">
        <w:rPr>
          <w:rFonts w:ascii="Cambria" w:eastAsia="Cambria" w:hAnsi="Cambria" w:cs="Cambria"/>
          <w:color w:val="000000" w:themeColor="text1"/>
          <w:sz w:val="22"/>
          <w:szCs w:val="22"/>
        </w:rPr>
        <w:t>All reconciliations must agree to the general ledger and clearly explain reconciling items.</w:t>
      </w:r>
    </w:p>
    <w:p w14:paraId="591C585C" w14:textId="51069DB2" w:rsidR="00F4580B" w:rsidRDefault="3625076B" w:rsidP="58E7D022">
      <w:pPr>
        <w:pStyle w:val="Heading2"/>
        <w:spacing w:before="200" w:after="0"/>
        <w:rPr>
          <w:rFonts w:ascii="Calibri" w:eastAsia="Calibri" w:hAnsi="Calibri" w:cs="Calibri"/>
          <w:color w:val="4F81BD"/>
          <w:sz w:val="26"/>
          <w:szCs w:val="26"/>
        </w:rPr>
      </w:pPr>
      <w:r w:rsidRPr="58E7D022">
        <w:rPr>
          <w:rFonts w:ascii="Calibri" w:eastAsia="Calibri" w:hAnsi="Calibri" w:cs="Calibri"/>
          <w:b/>
          <w:bCs/>
          <w:color w:val="4F81BD"/>
          <w:sz w:val="26"/>
          <w:szCs w:val="26"/>
        </w:rPr>
        <w:t>4. Frequency</w:t>
      </w:r>
    </w:p>
    <w:p w14:paraId="3D746EDF" w14:textId="73E118BE" w:rsidR="00F4580B" w:rsidRDefault="3625076B" w:rsidP="58E7D022">
      <w:pPr>
        <w:spacing w:after="24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8E7D022">
        <w:rPr>
          <w:rFonts w:ascii="Cambria" w:eastAsia="Cambria" w:hAnsi="Cambria" w:cs="Cambria"/>
          <w:color w:val="000000" w:themeColor="text1"/>
          <w:sz w:val="22"/>
          <w:szCs w:val="22"/>
        </w:rPr>
        <w:t>Key accounts must be reconciled monthly. Low-risk accounts may be reconciled quarterly with approval.</w:t>
      </w:r>
    </w:p>
    <w:p w14:paraId="5D2FAC09" w14:textId="3F175418" w:rsidR="00F4580B" w:rsidRDefault="3625076B" w:rsidP="58E7D022">
      <w:pPr>
        <w:pStyle w:val="Heading2"/>
        <w:spacing w:before="200" w:after="0"/>
        <w:rPr>
          <w:rFonts w:ascii="Calibri" w:eastAsia="Calibri" w:hAnsi="Calibri" w:cs="Calibri"/>
          <w:color w:val="4F81BD"/>
          <w:sz w:val="26"/>
          <w:szCs w:val="26"/>
        </w:rPr>
      </w:pPr>
      <w:r w:rsidRPr="58E7D022">
        <w:rPr>
          <w:rFonts w:ascii="Calibri" w:eastAsia="Calibri" w:hAnsi="Calibri" w:cs="Calibri"/>
          <w:b/>
          <w:bCs/>
          <w:color w:val="4F81BD"/>
          <w:sz w:val="26"/>
          <w:szCs w:val="26"/>
        </w:rPr>
        <w:t>5. Review &amp; Sign-Off</w:t>
      </w:r>
    </w:p>
    <w:p w14:paraId="102EE1AA" w14:textId="346B38DA" w:rsidR="00F4580B" w:rsidRDefault="3625076B" w:rsidP="58E7D022">
      <w:pPr>
        <w:spacing w:after="24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8E7D022">
        <w:rPr>
          <w:rFonts w:ascii="Cambria" w:eastAsia="Cambria" w:hAnsi="Cambria" w:cs="Cambria"/>
          <w:color w:val="000000" w:themeColor="text1"/>
          <w:sz w:val="22"/>
          <w:szCs w:val="22"/>
        </w:rPr>
        <w:t>Reconciliations must be independently reviewed and signed off prior to approval.</w:t>
      </w:r>
    </w:p>
    <w:p w14:paraId="7D36D184" w14:textId="1C87C99F" w:rsidR="00F4580B" w:rsidRDefault="3625076B" w:rsidP="58E7D022">
      <w:pPr>
        <w:pStyle w:val="Heading2"/>
        <w:spacing w:before="200" w:after="0"/>
        <w:rPr>
          <w:rFonts w:ascii="Calibri" w:eastAsia="Calibri" w:hAnsi="Calibri" w:cs="Calibri"/>
          <w:color w:val="4F81BD"/>
          <w:sz w:val="26"/>
          <w:szCs w:val="26"/>
        </w:rPr>
      </w:pPr>
      <w:r w:rsidRPr="58E7D022">
        <w:rPr>
          <w:rFonts w:ascii="Calibri" w:eastAsia="Calibri" w:hAnsi="Calibri" w:cs="Calibri"/>
          <w:b/>
          <w:bCs/>
          <w:color w:val="4F81BD"/>
          <w:sz w:val="26"/>
          <w:szCs w:val="26"/>
        </w:rPr>
        <w:t>6. Reconciling Items</w:t>
      </w:r>
    </w:p>
    <w:p w14:paraId="0AA854BA" w14:textId="09CA071A" w:rsidR="00F4580B" w:rsidRDefault="3625076B" w:rsidP="58E7D022">
      <w:pPr>
        <w:spacing w:after="24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8E7D022">
        <w:rPr>
          <w:rFonts w:ascii="Cambria" w:eastAsia="Cambria" w:hAnsi="Cambria" w:cs="Cambria"/>
          <w:color w:val="000000" w:themeColor="text1"/>
          <w:sz w:val="22"/>
          <w:szCs w:val="22"/>
        </w:rPr>
        <w:t>Reconciling items must be aged, investigated, and cleared timeously.</w:t>
      </w:r>
    </w:p>
    <w:p w14:paraId="61552849" w14:textId="1766DB9D" w:rsidR="00F4580B" w:rsidRDefault="3625076B" w:rsidP="58E7D022">
      <w:pPr>
        <w:pStyle w:val="Heading2"/>
        <w:spacing w:before="200" w:after="0"/>
        <w:rPr>
          <w:rFonts w:ascii="Calibri" w:eastAsia="Calibri" w:hAnsi="Calibri" w:cs="Calibri"/>
          <w:color w:val="4F81BD"/>
          <w:sz w:val="26"/>
          <w:szCs w:val="26"/>
        </w:rPr>
      </w:pPr>
      <w:r w:rsidRPr="58E7D022">
        <w:rPr>
          <w:rFonts w:ascii="Calibri" w:eastAsia="Calibri" w:hAnsi="Calibri" w:cs="Calibri"/>
          <w:b/>
          <w:bCs/>
          <w:color w:val="4F81BD"/>
          <w:sz w:val="26"/>
          <w:szCs w:val="26"/>
        </w:rPr>
        <w:t>7. Documentation</w:t>
      </w:r>
    </w:p>
    <w:p w14:paraId="6C1FF352" w14:textId="2C30B4AF" w:rsidR="00F4580B" w:rsidRDefault="3625076B" w:rsidP="58E7D022">
      <w:pPr>
        <w:spacing w:after="24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8E7D022">
        <w:rPr>
          <w:rFonts w:ascii="Cambria" w:eastAsia="Cambria" w:hAnsi="Cambria" w:cs="Cambria"/>
          <w:color w:val="000000" w:themeColor="text1"/>
          <w:sz w:val="22"/>
          <w:szCs w:val="22"/>
        </w:rPr>
        <w:t>Reconciliations must include GL extracts, source documentation, and explanations.</w:t>
      </w:r>
    </w:p>
    <w:p w14:paraId="3EA93029" w14:textId="29A414F9" w:rsidR="00F4580B" w:rsidRDefault="3625076B" w:rsidP="58E7D022">
      <w:pPr>
        <w:pStyle w:val="Heading2"/>
        <w:spacing w:before="200" w:after="0"/>
        <w:rPr>
          <w:rFonts w:ascii="Calibri" w:eastAsia="Calibri" w:hAnsi="Calibri" w:cs="Calibri"/>
          <w:color w:val="4F81BD"/>
          <w:sz w:val="26"/>
          <w:szCs w:val="26"/>
        </w:rPr>
      </w:pPr>
      <w:r w:rsidRPr="58E7D022">
        <w:rPr>
          <w:rFonts w:ascii="Calibri" w:eastAsia="Calibri" w:hAnsi="Calibri" w:cs="Calibri"/>
          <w:b/>
          <w:bCs/>
          <w:color w:val="4F81BD"/>
          <w:sz w:val="26"/>
          <w:szCs w:val="26"/>
        </w:rPr>
        <w:t>8. Exceptions</w:t>
      </w:r>
    </w:p>
    <w:p w14:paraId="3BA2F978" w14:textId="19B5F92C" w:rsidR="00F4580B" w:rsidRDefault="3625076B" w:rsidP="58E7D022">
      <w:pPr>
        <w:spacing w:after="24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8E7D022">
        <w:rPr>
          <w:rFonts w:ascii="Cambria" w:eastAsia="Cambria" w:hAnsi="Cambria" w:cs="Cambria"/>
          <w:color w:val="000000" w:themeColor="text1"/>
          <w:sz w:val="22"/>
          <w:szCs w:val="22"/>
        </w:rPr>
        <w:t>Unresolved or material differences must be escalated and approved.</w:t>
      </w:r>
    </w:p>
    <w:p w14:paraId="7EEE50BE" w14:textId="6BF450A9" w:rsidR="00F4580B" w:rsidRDefault="00F4580B" w:rsidP="58E7D022">
      <w:pPr>
        <w:rPr>
          <w:rFonts w:ascii="Aptos" w:eastAsia="Aptos" w:hAnsi="Aptos" w:cs="Aptos"/>
          <w:color w:val="000000" w:themeColor="text1"/>
        </w:rPr>
      </w:pPr>
    </w:p>
    <w:p w14:paraId="7BAA38B4" w14:textId="567FE32C" w:rsidR="00F4580B" w:rsidRDefault="00F4580B" w:rsidP="58E7D022">
      <w:pPr>
        <w:rPr>
          <w:rFonts w:ascii="Aptos" w:eastAsia="Aptos" w:hAnsi="Aptos" w:cs="Aptos"/>
          <w:color w:val="000000" w:themeColor="text1"/>
        </w:rPr>
      </w:pPr>
    </w:p>
    <w:p w14:paraId="2C078E63" w14:textId="28715547" w:rsidR="00F4580B" w:rsidRDefault="00F4580B"/>
    <w:sectPr w:rsidR="00F4580B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E0AED1" w14:textId="77777777" w:rsidR="00436E07" w:rsidRDefault="00436E07">
      <w:pPr>
        <w:spacing w:after="0" w:line="240" w:lineRule="auto"/>
      </w:pPr>
      <w:r>
        <w:separator/>
      </w:r>
    </w:p>
  </w:endnote>
  <w:endnote w:type="continuationSeparator" w:id="0">
    <w:p w14:paraId="1A6EFED6" w14:textId="77777777" w:rsidR="00436E07" w:rsidRDefault="00436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E7D022" w14:paraId="1406E415" w14:textId="77777777" w:rsidTr="58E7D022">
      <w:trPr>
        <w:trHeight w:val="300"/>
      </w:trPr>
      <w:tc>
        <w:tcPr>
          <w:tcW w:w="3120" w:type="dxa"/>
        </w:tcPr>
        <w:p w14:paraId="7B9CD481" w14:textId="76590EE3" w:rsidR="58E7D022" w:rsidRDefault="58E7D022" w:rsidP="58E7D022">
          <w:pPr>
            <w:pStyle w:val="Header"/>
            <w:ind w:left="-115"/>
          </w:pPr>
        </w:p>
      </w:tc>
      <w:tc>
        <w:tcPr>
          <w:tcW w:w="3120" w:type="dxa"/>
        </w:tcPr>
        <w:p w14:paraId="684A76AA" w14:textId="145A7895" w:rsidR="58E7D022" w:rsidRDefault="58E7D022" w:rsidP="58E7D022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 w:rsidR="00EF3C8F">
            <w:fldChar w:fldCharType="separate"/>
          </w:r>
          <w:r w:rsidR="0090649D">
            <w:rPr>
              <w:noProof/>
            </w:rPr>
            <w:t>2</w:t>
          </w:r>
          <w:r>
            <w:fldChar w:fldCharType="end"/>
          </w:r>
        </w:p>
      </w:tc>
      <w:tc>
        <w:tcPr>
          <w:tcW w:w="3120" w:type="dxa"/>
        </w:tcPr>
        <w:p w14:paraId="413DF195" w14:textId="7A8B1853" w:rsidR="58E7D022" w:rsidRDefault="58E7D022" w:rsidP="58E7D022">
          <w:pPr>
            <w:pStyle w:val="Header"/>
            <w:ind w:right="-115"/>
            <w:jc w:val="right"/>
          </w:pPr>
        </w:p>
      </w:tc>
    </w:tr>
  </w:tbl>
  <w:p w14:paraId="0629D896" w14:textId="030E4889" w:rsidR="58E7D022" w:rsidRDefault="58E7D022" w:rsidP="58E7D022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42884F" w14:textId="77777777" w:rsidR="00436E07" w:rsidRDefault="00436E07">
      <w:pPr>
        <w:spacing w:after="0" w:line="240" w:lineRule="auto"/>
      </w:pPr>
      <w:r>
        <w:separator/>
      </w:r>
    </w:p>
  </w:footnote>
  <w:footnote w:type="continuationSeparator" w:id="0">
    <w:p w14:paraId="4856F25F" w14:textId="77777777" w:rsidR="00436E07" w:rsidRDefault="00436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E7D022" w14:paraId="17D98631" w14:textId="77777777" w:rsidTr="58E7D022">
      <w:trPr>
        <w:trHeight w:val="300"/>
      </w:trPr>
      <w:tc>
        <w:tcPr>
          <w:tcW w:w="3120" w:type="dxa"/>
        </w:tcPr>
        <w:p w14:paraId="783DF838" w14:textId="5AF1C50B" w:rsidR="58E7D022" w:rsidRDefault="58E7D022" w:rsidP="58E7D022">
          <w:pPr>
            <w:pStyle w:val="Header"/>
            <w:ind w:left="-115"/>
          </w:pPr>
        </w:p>
      </w:tc>
      <w:tc>
        <w:tcPr>
          <w:tcW w:w="3120" w:type="dxa"/>
        </w:tcPr>
        <w:p w14:paraId="58A21593" w14:textId="629F2E26" w:rsidR="58E7D022" w:rsidRDefault="58E7D022" w:rsidP="58E7D022">
          <w:pPr>
            <w:pStyle w:val="Header"/>
            <w:jc w:val="center"/>
          </w:pPr>
        </w:p>
      </w:tc>
      <w:tc>
        <w:tcPr>
          <w:tcW w:w="3120" w:type="dxa"/>
        </w:tcPr>
        <w:p w14:paraId="52BC1656" w14:textId="10E57690" w:rsidR="58E7D022" w:rsidRDefault="58E7D022" w:rsidP="58E7D022">
          <w:pPr>
            <w:pStyle w:val="Header"/>
            <w:ind w:right="-115"/>
            <w:jc w:val="right"/>
          </w:pPr>
        </w:p>
      </w:tc>
    </w:tr>
  </w:tbl>
  <w:p w14:paraId="56DDB69E" w14:textId="5636C231" w:rsidR="58E7D022" w:rsidRDefault="58E7D022" w:rsidP="58E7D0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recommended="1"/>
  <w:zoom w:percent="130"/>
  <w:proofState w:spelling="clean" w:grammar="clean"/>
  <w:documentProtection w:edit="readOnly" w:enforcement="1" w:cryptProviderType="rsaFull" w:cryptAlgorithmClass="hash" w:cryptAlgorithmType="typeAny" w:cryptAlgorithmSid="4" w:cryptSpinCount="100000" w:hash="Rp6PmE5YAx2PcEF4/f4sejVDHSQ=" w:salt="NGZjDg++7PPjaCUjJaD8E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54BF03"/>
    <w:rsid w:val="00436E07"/>
    <w:rsid w:val="0090649D"/>
    <w:rsid w:val="00EF3C8F"/>
    <w:rsid w:val="00F4580B"/>
    <w:rsid w:val="217D229A"/>
    <w:rsid w:val="31D49DE3"/>
    <w:rsid w:val="3625076B"/>
    <w:rsid w:val="4DBCCDED"/>
    <w:rsid w:val="58E7D022"/>
    <w:rsid w:val="66E94B4C"/>
    <w:rsid w:val="71765A5F"/>
    <w:rsid w:val="7654BF03"/>
    <w:rsid w:val="7DB9C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4BF03"/>
  <w15:chartTrackingRefBased/>
  <w15:docId w15:val="{A4580E92-3DE3-4BE4-B0FE-72C7107D5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8E7D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8E7D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58E7D022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uiPriority w:val="99"/>
    <w:unhideWhenUsed/>
    <w:rsid w:val="58E7D02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8E7D02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923</Characters>
  <Application>Microsoft Macintosh Word</Application>
  <DocSecurity>10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Slabbert</dc:creator>
  <cp:keywords/>
  <dc:description/>
  <cp:lastModifiedBy>armandslabbert@gmail.com</cp:lastModifiedBy>
  <cp:revision>2</cp:revision>
  <dcterms:created xsi:type="dcterms:W3CDTF">2026-02-04T10:26:00Z</dcterms:created>
  <dcterms:modified xsi:type="dcterms:W3CDTF">2026-02-06T16:14:00Z</dcterms:modified>
</cp:coreProperties>
</file>